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eastAsia="黑体"/>
          <w:sz w:val="44"/>
          <w:szCs w:val="44"/>
        </w:rPr>
      </w:pPr>
      <w:bookmarkStart w:id="2" w:name="_GoBack"/>
      <w:bookmarkEnd w:id="2"/>
      <w:bookmarkStart w:id="0" w:name="_Toc383654309"/>
      <w:r>
        <w:rPr>
          <w:rFonts w:hint="eastAsia" w:ascii="黑体" w:eastAsia="黑体"/>
          <w:sz w:val="44"/>
          <w:szCs w:val="44"/>
        </w:rPr>
        <w:t>工程教育认证自评报告指导书</w:t>
      </w:r>
      <w:bookmarkEnd w:id="0"/>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20</w:t>
      </w:r>
      <w:r>
        <w:rPr>
          <w:rFonts w:hint="eastAsia" w:ascii="仿宋" w:hAnsi="仿宋" w:eastAsia="仿宋"/>
          <w:sz w:val="28"/>
          <w:szCs w:val="28"/>
        </w:rPr>
        <w:t>年版）</w:t>
      </w:r>
    </w:p>
    <w:p>
      <w:pPr>
        <w:spacing w:line="360" w:lineRule="auto"/>
        <w:ind w:firstLine="420" w:firstLineChars="200"/>
        <w:jc w:val="left"/>
        <w:rPr>
          <w:rFonts w:ascii="仿宋" w:hAnsi="仿宋" w:eastAsia="仿宋"/>
          <w:szCs w:val="21"/>
        </w:rPr>
      </w:pPr>
    </w:p>
    <w:p>
      <w:pPr>
        <w:spacing w:line="360" w:lineRule="auto"/>
        <w:ind w:firstLine="560" w:firstLineChars="200"/>
        <w:jc w:val="left"/>
        <w:rPr>
          <w:rFonts w:ascii="仿宋" w:hAnsi="仿宋" w:eastAsia="仿宋"/>
          <w:sz w:val="28"/>
          <w:szCs w:val="21"/>
        </w:rPr>
      </w:pPr>
      <w:r>
        <w:rPr>
          <w:rFonts w:hint="eastAsia" w:ascii="仿宋" w:hAnsi="仿宋" w:eastAsia="仿宋"/>
          <w:sz w:val="28"/>
          <w:szCs w:val="21"/>
        </w:rPr>
        <w:t>自评报告是工程教育认证的重要证据之一。专业应根据中国工程教育专业认证的通用标准和专业补充标准，在自评报告中清晰地描述专业的培养目标、毕业要求，客观地陈述为达到培养目标和毕业要求而设计和实施的教育教学体系，为支撑人才培养而配备的师资队伍、支持条件，以及为保障人才培养质量而建立的持续改进机制</w:t>
      </w:r>
      <w:r>
        <w:rPr>
          <w:rFonts w:ascii="仿宋" w:hAnsi="仿宋" w:eastAsia="仿宋"/>
          <w:sz w:val="28"/>
          <w:szCs w:val="21"/>
        </w:rPr>
        <w:t>。</w:t>
      </w:r>
    </w:p>
    <w:p>
      <w:pPr>
        <w:spacing w:line="360" w:lineRule="auto"/>
        <w:ind w:firstLine="560" w:firstLineChars="200"/>
        <w:jc w:val="left"/>
        <w:rPr>
          <w:rFonts w:ascii="仿宋" w:hAnsi="仿宋" w:eastAsia="仿宋"/>
          <w:sz w:val="28"/>
          <w:szCs w:val="21"/>
        </w:rPr>
      </w:pPr>
      <w:r>
        <w:rPr>
          <w:rFonts w:hint="eastAsia" w:ascii="仿宋" w:hAnsi="仿宋" w:eastAsia="仿宋"/>
          <w:sz w:val="28"/>
          <w:szCs w:val="21"/>
        </w:rPr>
        <w:t>本指导书围绕工程教育认证标准，提出了自评报告撰写的基本要求,仅用于专业撰写自评报告的参考，而不是作为自评报告撰写的范本。指导书中所列内容，是专家在</w:t>
      </w:r>
      <w:r>
        <w:rPr>
          <w:rFonts w:ascii="仿宋" w:hAnsi="仿宋" w:eastAsia="仿宋"/>
          <w:sz w:val="28"/>
          <w:szCs w:val="21"/>
        </w:rPr>
        <w:t>进行认证</w:t>
      </w:r>
      <w:r>
        <w:rPr>
          <w:rFonts w:hint="eastAsia" w:ascii="仿宋" w:hAnsi="仿宋" w:eastAsia="仿宋"/>
          <w:sz w:val="28"/>
          <w:szCs w:val="21"/>
        </w:rPr>
        <w:t>判断</w:t>
      </w:r>
      <w:r>
        <w:rPr>
          <w:rFonts w:ascii="仿宋" w:hAnsi="仿宋" w:eastAsia="仿宋"/>
          <w:sz w:val="28"/>
          <w:szCs w:val="21"/>
        </w:rPr>
        <w:t>时</w:t>
      </w:r>
      <w:r>
        <w:rPr>
          <w:rFonts w:hint="eastAsia" w:ascii="仿宋" w:hAnsi="仿宋" w:eastAsia="仿宋"/>
          <w:sz w:val="28"/>
          <w:szCs w:val="21"/>
        </w:rPr>
        <w:t>所需</w:t>
      </w:r>
      <w:r>
        <w:rPr>
          <w:rFonts w:ascii="仿宋" w:hAnsi="仿宋" w:eastAsia="仿宋"/>
          <w:sz w:val="28"/>
          <w:szCs w:val="21"/>
        </w:rPr>
        <w:t>的</w:t>
      </w:r>
      <w:r>
        <w:rPr>
          <w:rFonts w:hint="eastAsia" w:ascii="仿宋" w:hAnsi="仿宋" w:eastAsia="仿宋"/>
          <w:sz w:val="28"/>
          <w:szCs w:val="21"/>
        </w:rPr>
        <w:t>基本</w:t>
      </w:r>
      <w:r>
        <w:rPr>
          <w:rFonts w:ascii="仿宋" w:hAnsi="仿宋" w:eastAsia="仿宋"/>
          <w:sz w:val="28"/>
          <w:szCs w:val="21"/>
        </w:rPr>
        <w:t>信息</w:t>
      </w:r>
      <w:r>
        <w:rPr>
          <w:rFonts w:hint="eastAsia" w:ascii="仿宋" w:hAnsi="仿宋" w:eastAsia="仿宋"/>
          <w:sz w:val="28"/>
          <w:szCs w:val="21"/>
        </w:rPr>
        <w:t>，自评报告应包含但不限于这些内容。</w:t>
      </w:r>
    </w:p>
    <w:p>
      <w:pPr>
        <w:spacing w:line="360" w:lineRule="auto"/>
        <w:ind w:firstLine="560" w:firstLineChars="200"/>
        <w:jc w:val="left"/>
        <w:rPr>
          <w:rFonts w:ascii="仿宋" w:hAnsi="仿宋" w:eastAsia="仿宋"/>
          <w:sz w:val="28"/>
          <w:szCs w:val="21"/>
        </w:rPr>
      </w:pPr>
      <w:r>
        <w:rPr>
          <w:rFonts w:hint="eastAsia" w:ascii="仿宋" w:hAnsi="仿宋" w:eastAsia="仿宋"/>
          <w:sz w:val="28"/>
          <w:szCs w:val="21"/>
        </w:rPr>
        <w:t>自评报告应严格依据标准，参照本指导书建议的格式撰写，</w:t>
      </w:r>
      <w:r>
        <w:rPr>
          <w:rFonts w:hint="eastAsia" w:ascii="仿宋" w:hAnsi="仿宋" w:eastAsia="仿宋"/>
          <w:b/>
          <w:sz w:val="28"/>
          <w:szCs w:val="21"/>
        </w:rPr>
        <w:t>（用黑体字在相应位置列出通用标准原文和专业补充标准要求），</w:t>
      </w:r>
      <w:r>
        <w:rPr>
          <w:rFonts w:hint="eastAsia" w:ascii="仿宋" w:hAnsi="仿宋" w:eastAsia="仿宋"/>
          <w:sz w:val="28"/>
          <w:szCs w:val="21"/>
        </w:rPr>
        <w:t>文字描述应简练准确，图表应清晰详实，定性和定量相结合，便于认证专家对照认证标准进行审阅。自评报告不应包含与认证标准无关的内容,不应将少数学生的“标志性成果”作为达标举证材料</w:t>
      </w:r>
      <w:r>
        <w:rPr>
          <w:rFonts w:ascii="仿宋" w:hAnsi="仿宋" w:eastAsia="仿宋"/>
          <w:sz w:val="28"/>
          <w:szCs w:val="21"/>
        </w:rPr>
        <w:t>。</w:t>
      </w:r>
    </w:p>
    <w:p>
      <w:pPr>
        <w:spacing w:line="360" w:lineRule="auto"/>
        <w:ind w:firstLine="560" w:firstLineChars="200"/>
        <w:jc w:val="left"/>
        <w:rPr>
          <w:rFonts w:ascii="仿宋" w:hAnsi="仿宋" w:eastAsia="仿宋"/>
          <w:sz w:val="28"/>
          <w:szCs w:val="21"/>
        </w:rPr>
      </w:pPr>
      <w:r>
        <w:rPr>
          <w:rFonts w:hint="eastAsia" w:ascii="仿宋" w:hAnsi="仿宋" w:eastAsia="仿宋"/>
          <w:sz w:val="28"/>
          <w:szCs w:val="21"/>
        </w:rPr>
        <w:t>自评报告由正文和附录两部分组成,具体要求见本指导书。</w:t>
      </w:r>
    </w:p>
    <w:p>
      <w:pPr>
        <w:spacing w:before="156" w:beforeLines="50" w:line="360" w:lineRule="auto"/>
        <w:jc w:val="left"/>
        <w:rPr>
          <w:rFonts w:ascii="仿宋" w:hAnsi="仿宋" w:eastAsia="仿宋"/>
          <w:sz w:val="28"/>
          <w:szCs w:val="21"/>
        </w:rPr>
      </w:pPr>
      <w:r>
        <w:rPr>
          <w:rFonts w:hint="eastAsia" w:ascii="仿宋" w:hAnsi="仿宋" w:eastAsia="仿宋"/>
          <w:sz w:val="28"/>
          <w:szCs w:val="21"/>
        </w:rPr>
        <w:t>本指导书中部分名词的说明</w:t>
      </w:r>
      <w:r>
        <w:rPr>
          <w:rFonts w:ascii="仿宋" w:hAnsi="仿宋" w:eastAsia="仿宋"/>
          <w:sz w:val="28"/>
          <w:szCs w:val="21"/>
        </w:rPr>
        <w:t>:</w:t>
      </w:r>
    </w:p>
    <w:p>
      <w:pPr>
        <w:pStyle w:val="65"/>
        <w:numPr>
          <w:ilvl w:val="0"/>
          <w:numId w:val="1"/>
        </w:numPr>
        <w:spacing w:line="360" w:lineRule="auto"/>
        <w:ind w:firstLineChars="0"/>
        <w:jc w:val="left"/>
        <w:rPr>
          <w:rFonts w:ascii="仿宋" w:hAnsi="仿宋" w:eastAsia="仿宋"/>
          <w:sz w:val="28"/>
          <w:szCs w:val="21"/>
        </w:rPr>
      </w:pPr>
      <w:r>
        <w:rPr>
          <w:rFonts w:hint="eastAsia" w:ascii="仿宋" w:hAnsi="仿宋" w:eastAsia="仿宋"/>
          <w:b/>
          <w:sz w:val="28"/>
          <w:szCs w:val="21"/>
        </w:rPr>
        <w:t>支撑材料</w:t>
      </w:r>
      <w:r>
        <w:rPr>
          <w:rFonts w:ascii="仿宋" w:hAnsi="仿宋" w:eastAsia="仿宋"/>
          <w:b/>
          <w:sz w:val="28"/>
          <w:szCs w:val="21"/>
        </w:rPr>
        <w:t>:</w:t>
      </w:r>
      <w:r>
        <w:rPr>
          <w:rFonts w:hint="eastAsia" w:ascii="仿宋" w:hAnsi="仿宋" w:eastAsia="仿宋"/>
          <w:sz w:val="28"/>
          <w:szCs w:val="21"/>
        </w:rPr>
        <w:t>指用于支撑或证明自评报告各章节所述内容的相关材料，包括管理文件、教学资料、学生学习档案、各类记录性材料、合作协议或其它佐证材料等。支撑材料作为自评报告的附件单独汇编成册（对于附件中难以呈现的支撑材料，应提供材料索引，以便专家现场调阅）。</w:t>
      </w:r>
    </w:p>
    <w:p>
      <w:pPr>
        <w:pStyle w:val="65"/>
        <w:numPr>
          <w:ilvl w:val="0"/>
          <w:numId w:val="1"/>
        </w:numPr>
        <w:spacing w:line="360" w:lineRule="auto"/>
        <w:ind w:firstLineChars="0"/>
        <w:jc w:val="left"/>
        <w:rPr>
          <w:rFonts w:ascii="仿宋" w:hAnsi="仿宋" w:eastAsia="仿宋"/>
          <w:sz w:val="28"/>
          <w:szCs w:val="21"/>
        </w:rPr>
      </w:pPr>
      <w:r>
        <w:rPr>
          <w:rFonts w:hint="eastAsia" w:ascii="仿宋" w:hAnsi="仿宋" w:eastAsia="仿宋"/>
          <w:b/>
          <w:sz w:val="28"/>
          <w:szCs w:val="21"/>
        </w:rPr>
        <w:t>评估：</w:t>
      </w:r>
      <w:r>
        <w:rPr>
          <w:rFonts w:hint="eastAsia" w:ascii="仿宋" w:hAnsi="仿宋" w:eastAsia="仿宋"/>
          <w:sz w:val="28"/>
          <w:szCs w:val="21"/>
        </w:rPr>
        <w:t>指为开展某项评价而进行的数据、证据和资料收集工作。评估可采用直接的、间接的、量化的、非量化的手段,评估抽样应具有统计意义。</w:t>
      </w:r>
    </w:p>
    <w:p>
      <w:pPr>
        <w:pStyle w:val="65"/>
        <w:numPr>
          <w:ilvl w:val="0"/>
          <w:numId w:val="1"/>
        </w:numPr>
        <w:spacing w:line="360" w:lineRule="auto"/>
        <w:ind w:firstLineChars="0"/>
        <w:jc w:val="left"/>
        <w:rPr>
          <w:rFonts w:ascii="仿宋" w:hAnsi="仿宋" w:eastAsia="仿宋"/>
          <w:sz w:val="28"/>
          <w:szCs w:val="21"/>
        </w:rPr>
      </w:pPr>
      <w:r>
        <w:rPr>
          <w:rFonts w:hint="eastAsia" w:ascii="仿宋" w:hAnsi="仿宋" w:eastAsia="仿宋"/>
          <w:b/>
          <w:sz w:val="28"/>
          <w:szCs w:val="21"/>
        </w:rPr>
        <w:t>评价：</w:t>
      </w:r>
      <w:r>
        <w:rPr>
          <w:rFonts w:hint="eastAsia" w:ascii="仿宋" w:hAnsi="仿宋" w:eastAsia="仿宋"/>
          <w:sz w:val="28"/>
          <w:szCs w:val="21"/>
        </w:rPr>
        <w:t>评价是对评估过程中所收集到的证据和资料进行分析解释的过程，评价结果是持续改进的依据。</w:t>
      </w:r>
    </w:p>
    <w:p>
      <w:pPr>
        <w:pStyle w:val="65"/>
        <w:numPr>
          <w:ilvl w:val="0"/>
          <w:numId w:val="1"/>
        </w:numPr>
        <w:spacing w:line="360" w:lineRule="auto"/>
        <w:ind w:firstLineChars="0"/>
        <w:jc w:val="left"/>
        <w:rPr>
          <w:rFonts w:ascii="仿宋" w:hAnsi="仿宋" w:eastAsia="仿宋"/>
          <w:sz w:val="28"/>
        </w:rPr>
      </w:pPr>
      <w:r>
        <w:rPr>
          <w:rFonts w:hint="eastAsia" w:ascii="仿宋" w:hAnsi="仿宋" w:eastAsia="仿宋"/>
          <w:b/>
          <w:sz w:val="28"/>
          <w:szCs w:val="21"/>
        </w:rPr>
        <w:t>机制</w:t>
      </w:r>
      <w:r>
        <w:rPr>
          <w:rFonts w:ascii="仿宋" w:hAnsi="仿宋" w:eastAsia="仿宋"/>
          <w:b/>
          <w:sz w:val="28"/>
          <w:szCs w:val="21"/>
        </w:rPr>
        <w:t xml:space="preserve">: </w:t>
      </w:r>
      <w:r>
        <w:rPr>
          <w:rFonts w:hint="eastAsia" w:ascii="仿宋" w:hAnsi="仿宋" w:eastAsia="仿宋"/>
          <w:sz w:val="28"/>
          <w:szCs w:val="21"/>
        </w:rPr>
        <w:t>指针对特定目的而制定的一套规范的处理流程，包括目的、制度、责任人员、方法和流程等，对流程涉及的相关人员的角色和责任有明确的定义</w:t>
      </w:r>
      <w:r>
        <w:rPr>
          <w:rFonts w:ascii="仿宋" w:hAnsi="仿宋" w:eastAsia="仿宋"/>
          <w:sz w:val="28"/>
          <w:szCs w:val="21"/>
        </w:rPr>
        <w:t>。</w:t>
      </w:r>
    </w:p>
    <w:p>
      <w:pPr>
        <w:widowControl/>
        <w:jc w:val="left"/>
        <w:rPr>
          <w:rFonts w:ascii="Calibri" w:hAnsi="Calibri"/>
          <w:szCs w:val="22"/>
        </w:rPr>
      </w:pPr>
      <w:r>
        <w:br w:type="page"/>
      </w:r>
    </w:p>
    <w:p>
      <w:pPr>
        <w:pStyle w:val="65"/>
        <w:spacing w:line="360" w:lineRule="auto"/>
        <w:ind w:left="420" w:firstLine="0" w:firstLineChars="0"/>
        <w:jc w:val="center"/>
      </w:pPr>
    </w:p>
    <w:p>
      <w:pPr>
        <w:pStyle w:val="65"/>
        <w:spacing w:line="360" w:lineRule="auto"/>
        <w:ind w:left="420" w:firstLine="0" w:firstLineChars="0"/>
        <w:jc w:val="center"/>
      </w:pPr>
    </w:p>
    <w:p>
      <w:pPr>
        <w:spacing w:before="156" w:beforeLines="50" w:after="156" w:afterLines="50" w:line="360" w:lineRule="auto"/>
        <w:jc w:val="center"/>
        <w:rPr>
          <w:rFonts w:ascii="黑体" w:hAnsi="黑体" w:eastAsia="黑体"/>
          <w:b/>
          <w:sz w:val="72"/>
          <w:szCs w:val="72"/>
        </w:rPr>
      </w:pPr>
      <w:r>
        <w:rPr>
          <w:rFonts w:hint="eastAsia" w:ascii="黑体" w:hAnsi="黑体" w:eastAsia="黑体"/>
          <w:b/>
          <w:sz w:val="72"/>
          <w:szCs w:val="72"/>
        </w:rPr>
        <w:t>工程教育认证</w:t>
      </w:r>
    </w:p>
    <w:p>
      <w:pPr>
        <w:spacing w:before="156" w:beforeLines="50" w:after="156" w:afterLines="50" w:line="360" w:lineRule="auto"/>
        <w:jc w:val="center"/>
        <w:rPr>
          <w:rFonts w:ascii="黑体" w:hAnsi="黑体" w:eastAsia="黑体"/>
          <w:b/>
          <w:sz w:val="72"/>
          <w:szCs w:val="72"/>
        </w:rPr>
      </w:pPr>
      <w:r>
        <w:rPr>
          <w:rFonts w:hint="eastAsia" w:ascii="黑体" w:hAnsi="黑体" w:eastAsia="黑体"/>
          <w:b/>
          <w:sz w:val="72"/>
          <w:szCs w:val="72"/>
        </w:rPr>
        <w:t>自评报告</w:t>
      </w:r>
    </w:p>
    <w:p>
      <w:pPr>
        <w:jc w:val="center"/>
        <w:rPr>
          <w:sz w:val="52"/>
          <w:szCs w:val="52"/>
        </w:rPr>
      </w:pPr>
    </w:p>
    <w:p>
      <w:pPr>
        <w:rPr>
          <w:sz w:val="44"/>
          <w:szCs w:val="44"/>
        </w:rPr>
      </w:pPr>
    </w:p>
    <w:p>
      <w:pPr>
        <w:jc w:val="center"/>
        <w:rPr>
          <w:sz w:val="44"/>
          <w:szCs w:val="44"/>
        </w:rPr>
      </w:pPr>
      <w:r>
        <w:rPr>
          <w:rFonts w:ascii="Arial" w:hAnsi="Arial" w:cs="Arial"/>
          <w:sz w:val="32"/>
          <w:szCs w:val="40"/>
        </w:rPr>
        <w:t>&lt;</w:t>
      </w:r>
      <w:r>
        <w:rPr>
          <w:rFonts w:hint="eastAsia" w:ascii="Arial" w:hAnsi="Arial" w:cs="Arial"/>
          <w:sz w:val="32"/>
          <w:szCs w:val="40"/>
        </w:rPr>
        <w:t>可以插入学校的logo</w:t>
      </w:r>
      <w:r>
        <w:rPr>
          <w:rFonts w:ascii="Arial" w:hAnsi="Arial" w:cs="Arial"/>
          <w:sz w:val="32"/>
          <w:szCs w:val="40"/>
        </w:rPr>
        <w:t>&gt;</w:t>
      </w:r>
    </w:p>
    <w:p>
      <w:pPr>
        <w:rPr>
          <w:sz w:val="44"/>
          <w:szCs w:val="44"/>
        </w:rPr>
      </w:pPr>
    </w:p>
    <w:p>
      <w:pPr>
        <w:rPr>
          <w:sz w:val="44"/>
          <w:szCs w:val="44"/>
        </w:rPr>
      </w:pPr>
    </w:p>
    <w:p>
      <w:pPr>
        <w:rPr>
          <w:sz w:val="44"/>
          <w:szCs w:val="44"/>
        </w:rPr>
      </w:pP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专业名称：</w:t>
      </w:r>
    </w:p>
    <w:p>
      <w:pPr>
        <w:spacing w:before="156" w:beforeLines="50" w:after="156" w:afterLines="50" w:line="360" w:lineRule="auto"/>
        <w:ind w:firstLine="1400" w:firstLineChars="498"/>
        <w:rPr>
          <w:sz w:val="24"/>
          <w:u w:val="single"/>
        </w:rPr>
      </w:pPr>
      <w:r>
        <w:rPr>
          <w:rFonts w:hint="eastAsia" w:ascii="黑体" w:eastAsia="黑体"/>
          <w:b/>
          <w:sz w:val="28"/>
          <w:szCs w:val="28"/>
        </w:rPr>
        <w:t>专业负责人：</w:t>
      </w: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联系电话：</w:t>
      </w: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联系邮箱：</w:t>
      </w: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所在学校（公章）：</w:t>
      </w:r>
    </w:p>
    <w:p>
      <w:pPr>
        <w:spacing w:before="156" w:beforeLines="50" w:after="156" w:afterLines="50" w:line="360" w:lineRule="auto"/>
        <w:ind w:firstLine="1400" w:firstLineChars="498"/>
        <w:rPr>
          <w:rFonts w:ascii="黑体" w:eastAsia="黑体"/>
          <w:b/>
          <w:sz w:val="28"/>
          <w:szCs w:val="28"/>
        </w:rPr>
      </w:pPr>
      <w:r>
        <w:rPr>
          <w:rFonts w:hint="eastAsia" w:ascii="黑体" w:eastAsia="黑体"/>
          <w:b/>
          <w:sz w:val="28"/>
          <w:szCs w:val="28"/>
        </w:rPr>
        <w:t>学校负责人（签字）：_______</w:t>
      </w:r>
    </w:p>
    <w:p>
      <w:pPr>
        <w:spacing w:before="156" w:beforeLines="50" w:after="156" w:afterLines="50" w:line="360" w:lineRule="auto"/>
        <w:ind w:firstLine="1400" w:firstLineChars="498"/>
        <w:rPr>
          <w:rFonts w:ascii="黑体" w:eastAsia="黑体"/>
          <w:b/>
          <w:sz w:val="28"/>
          <w:szCs w:val="28"/>
        </w:rPr>
      </w:pPr>
      <w:r>
        <w:rPr>
          <w:rFonts w:hint="eastAsia" w:ascii="黑体" w:eastAsia="黑体"/>
          <w:b/>
          <w:sz w:val="28"/>
          <w:szCs w:val="28"/>
        </w:rPr>
        <w:t>提交日期：</w:t>
      </w:r>
    </w:p>
    <w:p>
      <w:pPr>
        <w:snapToGrid w:val="0"/>
        <w:spacing w:line="300" w:lineRule="auto"/>
        <w:jc w:val="left"/>
        <w:rPr>
          <w:sz w:val="24"/>
          <w:szCs w:val="24"/>
        </w:rPr>
      </w:pPr>
      <w:r>
        <w:rPr>
          <w:rFonts w:asciiTheme="minorEastAsia" w:hAnsiTheme="minorEastAsia" w:eastAsiaTheme="minorEastAsia"/>
          <w:b/>
          <w:sz w:val="28"/>
          <w:szCs w:val="24"/>
        </w:rPr>
        <w:br w:type="page"/>
      </w:r>
      <w:r>
        <w:rPr>
          <w:rFonts w:ascii="黑体" w:hAnsi="Calibri" w:eastAsia="黑体"/>
          <w:b/>
          <w:sz w:val="28"/>
          <w:szCs w:val="28"/>
        </w:rPr>
        <w:t xml:space="preserve">0 </w:t>
      </w:r>
      <w:r>
        <w:rPr>
          <w:rFonts w:hint="eastAsia" w:ascii="黑体" w:hAnsi="Calibri" w:eastAsia="黑体"/>
          <w:b/>
          <w:sz w:val="28"/>
          <w:szCs w:val="28"/>
        </w:rPr>
        <w:t>背景信息</w:t>
      </w:r>
    </w:p>
    <w:tbl>
      <w:tblPr>
        <w:tblStyle w:val="27"/>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544"/>
        <w:gridCol w:w="1225"/>
        <w:gridCol w:w="162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restart"/>
            <w:tcBorders>
              <w:top w:val="single" w:color="auto" w:sz="4" w:space="0"/>
              <w:left w:val="single" w:color="auto" w:sz="4" w:space="0"/>
              <w:right w:val="single" w:color="auto" w:sz="4" w:space="0"/>
            </w:tcBorders>
            <w:vAlign w:val="center"/>
          </w:tcPr>
          <w:p>
            <w:pPr>
              <w:tabs>
                <w:tab w:val="left" w:pos="0"/>
              </w:tabs>
              <w:spacing w:before="60" w:after="60" w:line="360" w:lineRule="auto"/>
              <w:jc w:val="center"/>
              <w:rPr>
                <w:sz w:val="24"/>
              </w:rPr>
            </w:pPr>
            <w:r>
              <w:rPr>
                <w:rFonts w:hint="eastAsia"/>
                <w:sz w:val="24"/>
              </w:rPr>
              <w:t>认证专业</w:t>
            </w:r>
          </w:p>
          <w:p>
            <w:pPr>
              <w:tabs>
                <w:tab w:val="left" w:pos="0"/>
              </w:tabs>
              <w:spacing w:before="60" w:after="60" w:line="360" w:lineRule="auto"/>
              <w:jc w:val="center"/>
              <w:rPr>
                <w:sz w:val="24"/>
              </w:rPr>
            </w:pPr>
            <w:r>
              <w:rPr>
                <w:rFonts w:hint="eastAsia"/>
                <w:sz w:val="24"/>
              </w:rPr>
              <w:t>信息</w:t>
            </w: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专业名称</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Borders>
              <w:top w:val="single" w:color="auto" w:sz="4" w:space="0"/>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所在学校</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Borders>
              <w:top w:val="single" w:color="auto" w:sz="4" w:space="0"/>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所在学院</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Borders>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授予学位</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Borders>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学制</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Borders>
              <w:left w:val="single" w:color="auto" w:sz="4" w:space="0"/>
              <w:right w:val="single" w:color="auto" w:sz="4" w:space="0"/>
            </w:tcBorders>
          </w:tcPr>
          <w:p>
            <w:pPr>
              <w:tabs>
                <w:tab w:val="left" w:pos="0"/>
              </w:tabs>
              <w:spacing w:before="60" w:after="60" w:line="360" w:lineRule="auto"/>
              <w:jc w:val="center"/>
              <w:rPr>
                <w:sz w:val="24"/>
              </w:rPr>
            </w:pPr>
          </w:p>
        </w:tc>
        <w:tc>
          <w:tcPr>
            <w:tcW w:w="1544" w:type="dxa"/>
            <w:tcBorders>
              <w:left w:val="single" w:color="auto" w:sz="4" w:space="0"/>
            </w:tcBorders>
          </w:tcPr>
          <w:p>
            <w:pPr>
              <w:tabs>
                <w:tab w:val="left" w:pos="0"/>
              </w:tabs>
              <w:spacing w:before="60" w:after="60" w:line="360" w:lineRule="auto"/>
              <w:jc w:val="center"/>
              <w:rPr>
                <w:sz w:val="24"/>
              </w:rPr>
            </w:pPr>
            <w:r>
              <w:rPr>
                <w:rFonts w:hint="eastAsia"/>
                <w:sz w:val="24"/>
              </w:rPr>
              <w:t>院系网址</w:t>
            </w:r>
          </w:p>
        </w:tc>
        <w:tc>
          <w:tcPr>
            <w:tcW w:w="5378" w:type="dxa"/>
            <w:gridSpan w:val="3"/>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restart"/>
            <w:vAlign w:val="center"/>
          </w:tcPr>
          <w:p>
            <w:pPr>
              <w:tabs>
                <w:tab w:val="left" w:pos="0"/>
              </w:tabs>
              <w:spacing w:before="60" w:after="60" w:line="360" w:lineRule="auto"/>
              <w:jc w:val="center"/>
              <w:rPr>
                <w:sz w:val="24"/>
              </w:rPr>
            </w:pPr>
            <w:r>
              <w:rPr>
                <w:rFonts w:hint="eastAsia"/>
                <w:sz w:val="24"/>
              </w:rPr>
              <w:t>认证联系人</w:t>
            </w:r>
          </w:p>
          <w:p>
            <w:pPr>
              <w:tabs>
                <w:tab w:val="left" w:pos="0"/>
              </w:tabs>
              <w:spacing w:before="60" w:after="60" w:line="360" w:lineRule="auto"/>
              <w:jc w:val="center"/>
              <w:rPr>
                <w:sz w:val="24"/>
              </w:rPr>
            </w:pPr>
            <w:r>
              <w:rPr>
                <w:rFonts w:hint="eastAsia"/>
                <w:sz w:val="24"/>
              </w:rPr>
              <w:t>信息</w:t>
            </w:r>
          </w:p>
        </w:tc>
        <w:tc>
          <w:tcPr>
            <w:tcW w:w="1544" w:type="dxa"/>
          </w:tcPr>
          <w:p>
            <w:pPr>
              <w:tabs>
                <w:tab w:val="left" w:pos="0"/>
              </w:tabs>
              <w:spacing w:before="60" w:after="60" w:line="360" w:lineRule="auto"/>
              <w:jc w:val="center"/>
              <w:rPr>
                <w:sz w:val="24"/>
              </w:rPr>
            </w:pPr>
            <w:r>
              <w:rPr>
                <w:rFonts w:hint="eastAsia"/>
                <w:sz w:val="24"/>
              </w:rPr>
              <w:t>姓名</w:t>
            </w:r>
          </w:p>
        </w:tc>
        <w:tc>
          <w:tcPr>
            <w:tcW w:w="1225" w:type="dxa"/>
          </w:tcPr>
          <w:p>
            <w:pPr>
              <w:tabs>
                <w:tab w:val="left" w:pos="0"/>
              </w:tabs>
              <w:spacing w:before="60" w:after="60" w:line="360" w:lineRule="auto"/>
              <w:rPr>
                <w:sz w:val="24"/>
              </w:rPr>
            </w:pPr>
          </w:p>
        </w:tc>
        <w:tc>
          <w:tcPr>
            <w:tcW w:w="1624" w:type="dxa"/>
          </w:tcPr>
          <w:p>
            <w:pPr>
              <w:tabs>
                <w:tab w:val="left" w:pos="0"/>
              </w:tabs>
              <w:spacing w:before="60" w:after="60" w:line="360" w:lineRule="auto"/>
              <w:jc w:val="center"/>
              <w:rPr>
                <w:sz w:val="24"/>
              </w:rPr>
            </w:pPr>
            <w:r>
              <w:rPr>
                <w:rFonts w:hint="eastAsia"/>
                <w:sz w:val="24"/>
              </w:rPr>
              <w:t>电子邮件</w:t>
            </w:r>
          </w:p>
        </w:tc>
        <w:tc>
          <w:tcPr>
            <w:tcW w:w="2529" w:type="dxa"/>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Pr>
          <w:p>
            <w:pPr>
              <w:tabs>
                <w:tab w:val="left" w:pos="0"/>
              </w:tabs>
              <w:spacing w:before="60" w:after="60" w:line="360" w:lineRule="auto"/>
              <w:jc w:val="center"/>
              <w:rPr>
                <w:sz w:val="24"/>
              </w:rPr>
            </w:pPr>
          </w:p>
        </w:tc>
        <w:tc>
          <w:tcPr>
            <w:tcW w:w="1544" w:type="dxa"/>
          </w:tcPr>
          <w:p>
            <w:pPr>
              <w:tabs>
                <w:tab w:val="left" w:pos="0"/>
              </w:tabs>
              <w:spacing w:before="60" w:after="60" w:line="360" w:lineRule="auto"/>
              <w:jc w:val="center"/>
              <w:rPr>
                <w:sz w:val="24"/>
              </w:rPr>
            </w:pPr>
            <w:r>
              <w:rPr>
                <w:rFonts w:hint="eastAsia"/>
                <w:sz w:val="24"/>
              </w:rPr>
              <w:t>电话</w:t>
            </w:r>
          </w:p>
        </w:tc>
        <w:tc>
          <w:tcPr>
            <w:tcW w:w="1225" w:type="dxa"/>
          </w:tcPr>
          <w:p>
            <w:pPr>
              <w:tabs>
                <w:tab w:val="left" w:pos="0"/>
              </w:tabs>
              <w:spacing w:before="60" w:after="60" w:line="360" w:lineRule="auto"/>
              <w:rPr>
                <w:sz w:val="24"/>
              </w:rPr>
            </w:pPr>
          </w:p>
        </w:tc>
        <w:tc>
          <w:tcPr>
            <w:tcW w:w="1624" w:type="dxa"/>
          </w:tcPr>
          <w:p>
            <w:pPr>
              <w:tabs>
                <w:tab w:val="left" w:pos="0"/>
              </w:tabs>
              <w:spacing w:before="60" w:after="60" w:line="360" w:lineRule="auto"/>
              <w:jc w:val="center"/>
              <w:rPr>
                <w:sz w:val="24"/>
              </w:rPr>
            </w:pPr>
            <w:r>
              <w:rPr>
                <w:rFonts w:hint="eastAsia"/>
                <w:sz w:val="24"/>
              </w:rPr>
              <w:t>手机</w:t>
            </w:r>
          </w:p>
        </w:tc>
        <w:tc>
          <w:tcPr>
            <w:tcW w:w="2529" w:type="dxa"/>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64" w:type="dxa"/>
            <w:vMerge w:val="continue"/>
          </w:tcPr>
          <w:p>
            <w:pPr>
              <w:tabs>
                <w:tab w:val="left" w:pos="0"/>
              </w:tabs>
              <w:spacing w:before="60" w:after="60" w:line="360" w:lineRule="auto"/>
              <w:jc w:val="center"/>
              <w:rPr>
                <w:sz w:val="24"/>
              </w:rPr>
            </w:pPr>
          </w:p>
        </w:tc>
        <w:tc>
          <w:tcPr>
            <w:tcW w:w="1544" w:type="dxa"/>
          </w:tcPr>
          <w:p>
            <w:pPr>
              <w:tabs>
                <w:tab w:val="left" w:pos="0"/>
              </w:tabs>
              <w:spacing w:before="60" w:after="60" w:line="360" w:lineRule="auto"/>
              <w:jc w:val="center"/>
              <w:rPr>
                <w:sz w:val="24"/>
              </w:rPr>
            </w:pPr>
            <w:r>
              <w:rPr>
                <w:rFonts w:hint="eastAsia"/>
                <w:sz w:val="24"/>
              </w:rPr>
              <w:t>通信地址</w:t>
            </w:r>
          </w:p>
        </w:tc>
        <w:tc>
          <w:tcPr>
            <w:tcW w:w="5378" w:type="dxa"/>
            <w:gridSpan w:val="3"/>
          </w:tcPr>
          <w:p>
            <w:pPr>
              <w:tabs>
                <w:tab w:val="left" w:pos="0"/>
              </w:tabs>
              <w:spacing w:before="60" w:after="60" w:line="360" w:lineRule="auto"/>
              <w:rPr>
                <w:sz w:val="24"/>
              </w:rPr>
            </w:pPr>
            <w:r>
              <w:rPr>
                <w:rFonts w:hint="eastAsia"/>
                <w:sz w:val="24"/>
              </w:rPr>
              <w:t>（邮编）</w:t>
            </w:r>
          </w:p>
        </w:tc>
      </w:tr>
    </w:tbl>
    <w:p>
      <w:pPr>
        <w:spacing w:line="360" w:lineRule="auto"/>
        <w:ind w:firstLine="480" w:firstLineChars="200"/>
        <w:jc w:val="left"/>
        <w:rPr>
          <w:sz w:val="24"/>
          <w:szCs w:val="24"/>
        </w:rPr>
      </w:pPr>
    </w:p>
    <w:p>
      <w:pPr>
        <w:snapToGrid w:val="0"/>
        <w:spacing w:line="360" w:lineRule="auto"/>
        <w:ind w:firstLine="566" w:firstLineChars="236"/>
        <w:jc w:val="left"/>
        <w:rPr>
          <w:rFonts w:ascii="楷体" w:hAnsi="楷体" w:eastAsia="楷体"/>
          <w:sz w:val="24"/>
          <w:szCs w:val="24"/>
        </w:rPr>
      </w:pPr>
      <w:r>
        <w:rPr>
          <w:rFonts w:hint="eastAsia" w:ascii="楷体" w:hAnsi="楷体" w:eastAsia="楷体"/>
          <w:sz w:val="24"/>
          <w:szCs w:val="24"/>
        </w:rPr>
        <w:t>本专业所在学校的简介（限2</w:t>
      </w:r>
      <w:r>
        <w:rPr>
          <w:rFonts w:ascii="楷体" w:hAnsi="楷体" w:eastAsia="楷体"/>
          <w:sz w:val="24"/>
          <w:szCs w:val="24"/>
        </w:rPr>
        <w:t>00</w:t>
      </w:r>
      <w:r>
        <w:rPr>
          <w:rFonts w:hint="eastAsia" w:ascii="楷体" w:hAnsi="楷体" w:eastAsia="楷体"/>
          <w:sz w:val="24"/>
          <w:szCs w:val="24"/>
        </w:rPr>
        <w:t>字左右）：</w:t>
      </w:r>
      <w:r>
        <w:rPr>
          <w:rFonts w:hint="eastAsia" w:asciiTheme="minorEastAsia" w:hAnsiTheme="minorEastAsia" w:eastAsiaTheme="minorEastAsia"/>
          <w:sz w:val="24"/>
          <w:szCs w:val="24"/>
        </w:rPr>
        <w:t>内容应包括：</w:t>
      </w:r>
      <w:r>
        <w:rPr>
          <w:rFonts w:hint="eastAsia" w:asciiTheme="minorEastAsia" w:hAnsiTheme="minorEastAsia" w:eastAsiaTheme="minorEastAsia"/>
          <w:bCs/>
          <w:sz w:val="24"/>
          <w:szCs w:val="24"/>
        </w:rPr>
        <w:t>学校的历史沿革，归属关系，学科布局，本科专业数量，各类全日制在校生规模，专任教师规模等。</w:t>
      </w:r>
    </w:p>
    <w:p>
      <w:pPr>
        <w:snapToGrid w:val="0"/>
        <w:spacing w:line="360" w:lineRule="auto"/>
        <w:ind w:firstLine="566" w:firstLineChars="236"/>
        <w:jc w:val="left"/>
        <w:rPr>
          <w:rFonts w:asciiTheme="minorEastAsia" w:hAnsiTheme="minorEastAsia" w:eastAsiaTheme="minorEastAsia"/>
          <w:sz w:val="24"/>
          <w:szCs w:val="24"/>
        </w:rPr>
      </w:pPr>
      <w:r>
        <w:rPr>
          <w:rFonts w:hint="eastAsia" w:ascii="楷体" w:hAnsi="楷体" w:eastAsia="楷体"/>
          <w:sz w:val="24"/>
          <w:szCs w:val="24"/>
        </w:rPr>
        <w:t>本专业发展沿革简述（限</w:t>
      </w:r>
      <w:r>
        <w:rPr>
          <w:rFonts w:ascii="楷体" w:hAnsi="楷体" w:eastAsia="楷体"/>
          <w:sz w:val="24"/>
          <w:szCs w:val="24"/>
        </w:rPr>
        <w:t>600</w:t>
      </w:r>
      <w:r>
        <w:rPr>
          <w:rFonts w:hint="eastAsia" w:ascii="楷体" w:hAnsi="楷体" w:eastAsia="楷体"/>
          <w:sz w:val="24"/>
          <w:szCs w:val="24"/>
        </w:rPr>
        <w:t xml:space="preserve">字左右）： </w:t>
      </w:r>
      <w:r>
        <w:rPr>
          <w:rFonts w:hint="eastAsia" w:asciiTheme="minorEastAsia" w:hAnsiTheme="minorEastAsia" w:eastAsiaTheme="minorEastAsia"/>
          <w:sz w:val="24"/>
          <w:szCs w:val="24"/>
        </w:rPr>
        <w:t>内容应包括</w:t>
      </w:r>
      <w:r>
        <w:rPr>
          <w:rFonts w:hint="eastAsia" w:asciiTheme="minorEastAsia" w:hAnsiTheme="minorEastAsia" w:eastAsiaTheme="minorEastAsia"/>
          <w:sz w:val="24"/>
        </w:rPr>
        <w:t>：专业的历史沿革；专业学制和学位、办学地点、</w:t>
      </w:r>
      <w:r>
        <w:rPr>
          <w:rFonts w:hint="eastAsia" w:asciiTheme="minorEastAsia" w:hAnsiTheme="minorEastAsia" w:eastAsiaTheme="minorEastAsia"/>
          <w:sz w:val="24"/>
          <w:szCs w:val="24"/>
        </w:rPr>
        <w:t>目前在校生数、年招生规模</w:t>
      </w:r>
      <w:r>
        <w:rPr>
          <w:rFonts w:hint="eastAsia" w:asciiTheme="minorEastAsia" w:hAnsiTheme="minorEastAsia" w:eastAsiaTheme="minorEastAsia"/>
          <w:sz w:val="24"/>
        </w:rPr>
        <w:t>；专业师资队伍概况</w:t>
      </w:r>
      <w:r>
        <w:rPr>
          <w:rFonts w:hint="eastAsia" w:asciiTheme="minorEastAsia" w:hAnsiTheme="minorEastAsia" w:eastAsiaTheme="minorEastAsia"/>
          <w:sz w:val="24"/>
          <w:szCs w:val="24"/>
        </w:rPr>
        <w:t>；专业依托学科的情况和基本办学条件；</w:t>
      </w:r>
    </w:p>
    <w:p>
      <w:pPr>
        <w:snapToGrid w:val="0"/>
        <w:spacing w:line="360" w:lineRule="auto"/>
        <w:ind w:firstLine="566" w:firstLineChars="236"/>
        <w:jc w:val="left"/>
        <w:rPr>
          <w:sz w:val="24"/>
          <w:szCs w:val="24"/>
        </w:rPr>
        <w:sectPr>
          <w:pgSz w:w="11906" w:h="16838"/>
          <w:pgMar w:top="1440" w:right="1700" w:bottom="1440" w:left="1800" w:header="851" w:footer="992" w:gutter="0"/>
          <w:cols w:space="425" w:num="1"/>
          <w:docGrid w:type="lines" w:linePitch="312" w:charSpace="0"/>
        </w:sectPr>
      </w:pPr>
      <w:r>
        <w:rPr>
          <w:rFonts w:hint="eastAsia" w:ascii="楷体" w:hAnsi="楷体" w:eastAsia="楷体"/>
          <w:sz w:val="24"/>
          <w:szCs w:val="24"/>
        </w:rPr>
        <w:t>本专业以前参加认证的情况。</w:t>
      </w:r>
      <w:r>
        <w:rPr>
          <w:rFonts w:hint="eastAsia"/>
          <w:sz w:val="24"/>
          <w:szCs w:val="24"/>
        </w:rPr>
        <w:t>（如果不是第一次认证，提供</w:t>
      </w:r>
      <w:r>
        <w:rPr>
          <w:sz w:val="24"/>
          <w:szCs w:val="24"/>
        </w:rPr>
        <w:t>开始</w:t>
      </w:r>
      <w:r>
        <w:rPr>
          <w:rFonts w:hint="eastAsia"/>
          <w:sz w:val="24"/>
          <w:szCs w:val="24"/>
        </w:rPr>
        <w:t>认证</w:t>
      </w:r>
      <w:r>
        <w:rPr>
          <w:sz w:val="24"/>
          <w:szCs w:val="24"/>
        </w:rPr>
        <w:t>的年份</w:t>
      </w:r>
      <w:r>
        <w:rPr>
          <w:rFonts w:hint="eastAsia"/>
          <w:sz w:val="24"/>
          <w:szCs w:val="24"/>
        </w:rPr>
        <w:t>以及最近一</w:t>
      </w:r>
      <w:r>
        <w:rPr>
          <w:sz w:val="24"/>
          <w:szCs w:val="24"/>
        </w:rPr>
        <w:t>次认证</w:t>
      </w:r>
      <w:r>
        <w:rPr>
          <w:rFonts w:hint="eastAsia"/>
          <w:sz w:val="24"/>
          <w:szCs w:val="24"/>
        </w:rPr>
        <w:t>的时间，描述</w:t>
      </w:r>
      <w:r>
        <w:rPr>
          <w:sz w:val="24"/>
          <w:szCs w:val="24"/>
        </w:rPr>
        <w:t>上次</w:t>
      </w:r>
      <w:r>
        <w:rPr>
          <w:rFonts w:hint="eastAsia"/>
          <w:sz w:val="24"/>
          <w:szCs w:val="24"/>
        </w:rPr>
        <w:t>专业认证</w:t>
      </w:r>
      <w:r>
        <w:rPr>
          <w:sz w:val="24"/>
          <w:szCs w:val="24"/>
        </w:rPr>
        <w:t>后</w:t>
      </w:r>
      <w:r>
        <w:rPr>
          <w:rFonts w:hint="eastAsia"/>
          <w:sz w:val="24"/>
          <w:szCs w:val="24"/>
        </w:rPr>
        <w:t>的持续改进情况，并在附件中提供上次的认证报告。）</w:t>
      </w:r>
    </w:p>
    <w:p>
      <w:pPr>
        <w:spacing w:before="156" w:beforeLines="50" w:after="156" w:afterLines="50" w:line="360" w:lineRule="auto"/>
        <w:jc w:val="left"/>
        <w:rPr>
          <w:rFonts w:ascii="黑体" w:eastAsia="黑体"/>
          <w:sz w:val="28"/>
          <w:szCs w:val="28"/>
        </w:rPr>
      </w:pPr>
      <w:r>
        <w:rPr>
          <w:rFonts w:ascii="黑体" w:eastAsia="黑体"/>
          <w:sz w:val="28"/>
          <w:szCs w:val="28"/>
        </w:rPr>
        <w:t xml:space="preserve">1 </w:t>
      </w:r>
      <w:r>
        <w:rPr>
          <w:rFonts w:hint="eastAsia" w:ascii="黑体" w:eastAsia="黑体"/>
          <w:sz w:val="28"/>
          <w:szCs w:val="28"/>
        </w:rPr>
        <w:t>学生</w:t>
      </w:r>
    </w:p>
    <w:p>
      <w:pPr>
        <w:pStyle w:val="71"/>
        <w:numPr>
          <w:ilvl w:val="1"/>
          <w:numId w:val="2"/>
        </w:numPr>
        <w:spacing w:before="156" w:beforeLines="50" w:after="156" w:afterLines="50" w:line="360" w:lineRule="auto"/>
        <w:rPr>
          <w:rFonts w:ascii="黑体" w:eastAsia="黑体"/>
          <w:b/>
        </w:rPr>
      </w:pPr>
      <w:r>
        <w:rPr>
          <w:rFonts w:hint="eastAsia" w:ascii="黑体" w:eastAsia="黑体"/>
          <w:b/>
        </w:rPr>
        <w:t>具有吸引优秀生源的制度和措施。</w:t>
      </w:r>
    </w:p>
    <w:p>
      <w:pPr>
        <w:pStyle w:val="71"/>
        <w:spacing w:before="156" w:beforeLines="50" w:line="360" w:lineRule="auto"/>
        <w:ind w:left="-46" w:leftChars="-22" w:firstLine="723" w:firstLineChars="300"/>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3"/>
        </w:numPr>
        <w:spacing w:line="360" w:lineRule="auto"/>
        <w:rPr>
          <w:rFonts w:ascii="楷体" w:hAnsi="楷体" w:eastAsia="楷体"/>
          <w:lang w:eastAsia="zh-CN"/>
        </w:rPr>
      </w:pPr>
      <w:r>
        <w:rPr>
          <w:rFonts w:hint="eastAsia" w:ascii="楷体" w:hAnsi="楷体" w:eastAsia="楷体"/>
          <w:lang w:eastAsia="zh-CN"/>
        </w:rPr>
        <w:t>本专业近三年的生源状况（学校</w:t>
      </w:r>
      <w:r>
        <w:rPr>
          <w:rFonts w:ascii="楷体" w:hAnsi="楷体" w:eastAsia="楷体"/>
          <w:lang w:eastAsia="zh-CN"/>
        </w:rPr>
        <w:t>和专业的</w:t>
      </w:r>
      <w:r>
        <w:rPr>
          <w:rFonts w:hint="eastAsia" w:ascii="楷体" w:hAnsi="楷体" w:eastAsia="楷体"/>
          <w:lang w:eastAsia="zh-CN"/>
        </w:rPr>
        <w:t>录取分数线、第一志愿率），大类招生的专业应分别说明入学和专业分流的情况。</w:t>
      </w:r>
    </w:p>
    <w:p>
      <w:pPr>
        <w:pStyle w:val="71"/>
        <w:numPr>
          <w:ilvl w:val="0"/>
          <w:numId w:val="3"/>
        </w:numPr>
        <w:spacing w:line="360" w:lineRule="auto"/>
        <w:rPr>
          <w:rFonts w:ascii="楷体" w:hAnsi="楷体" w:eastAsia="楷体"/>
          <w:lang w:eastAsia="zh-CN"/>
        </w:rPr>
      </w:pPr>
      <w:r>
        <w:rPr>
          <w:rFonts w:hint="eastAsia" w:ascii="楷体" w:hAnsi="楷体" w:eastAsia="楷体"/>
          <w:lang w:eastAsia="zh-CN"/>
        </w:rPr>
        <w:t>学校和专业为提高生源质量、吸引优秀生源所制订的制度和措施，以及制度和措施的执行情况，重点说明专业如何根据自身特色和优势，制定吸引优秀生源的具体措施。</w:t>
      </w:r>
    </w:p>
    <w:p>
      <w:pPr>
        <w:pStyle w:val="71"/>
        <w:widowControl w:val="0"/>
        <w:numPr>
          <w:ilvl w:val="0"/>
          <w:numId w:val="3"/>
        </w:numPr>
        <w:adjustRightInd w:val="0"/>
        <w:snapToGrid w:val="0"/>
        <w:spacing w:line="360" w:lineRule="auto"/>
        <w:contextualSpacing w:val="0"/>
        <w:jc w:val="both"/>
        <w:rPr>
          <w:rFonts w:ascii="楷体" w:hAnsi="楷体" w:eastAsia="楷体"/>
          <w:color w:val="000000"/>
          <w:lang w:eastAsia="zh-CN"/>
        </w:rPr>
      </w:pPr>
      <w:r>
        <w:rPr>
          <w:rFonts w:hint="eastAsia" w:ascii="楷体" w:hAnsi="楷体" w:eastAsia="楷体"/>
          <w:lang w:eastAsia="zh-CN"/>
        </w:rPr>
        <w:t>简要分析近三年的生源状态、变化情况和主要原因</w:t>
      </w:r>
      <w:r>
        <w:rPr>
          <w:rFonts w:hint="eastAsia" w:ascii="楷体" w:hAnsi="楷体" w:eastAsia="楷体"/>
          <w:color w:val="000000"/>
          <w:lang w:eastAsia="zh-CN"/>
        </w:rPr>
        <w:t>。</w:t>
      </w:r>
    </w:p>
    <w:p>
      <w:pPr>
        <w:pStyle w:val="71"/>
        <w:spacing w:line="360" w:lineRule="auto"/>
        <w:ind w:left="709"/>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4"/>
        </w:numPr>
        <w:spacing w:line="360" w:lineRule="auto"/>
        <w:rPr>
          <w:rFonts w:ascii="楷体" w:hAnsi="楷体" w:eastAsia="楷体"/>
          <w:lang w:eastAsia="zh-CN"/>
        </w:rPr>
      </w:pPr>
      <w:r>
        <w:rPr>
          <w:rFonts w:hint="eastAsia" w:ascii="楷体" w:hAnsi="楷体" w:eastAsia="楷体"/>
          <w:lang w:eastAsia="zh-CN"/>
        </w:rPr>
        <w:t>招生相关制度文件</w:t>
      </w:r>
    </w:p>
    <w:p>
      <w:pPr>
        <w:pStyle w:val="71"/>
        <w:numPr>
          <w:ilvl w:val="0"/>
          <w:numId w:val="4"/>
        </w:numPr>
        <w:spacing w:line="360" w:lineRule="auto"/>
        <w:rPr>
          <w:rFonts w:ascii="楷体" w:hAnsi="楷体" w:eastAsia="楷体"/>
          <w:lang w:eastAsia="zh-CN"/>
        </w:rPr>
      </w:pPr>
      <w:r>
        <w:rPr>
          <w:rFonts w:hint="eastAsia" w:ascii="楷体" w:hAnsi="楷体" w:eastAsia="楷体"/>
          <w:lang w:eastAsia="zh-CN"/>
        </w:rPr>
        <w:t>专业招生宣传材料</w:t>
      </w:r>
    </w:p>
    <w:p>
      <w:pPr>
        <w:pStyle w:val="71"/>
        <w:numPr>
          <w:ilvl w:val="0"/>
          <w:numId w:val="4"/>
        </w:numPr>
        <w:spacing w:line="360" w:lineRule="auto"/>
        <w:rPr>
          <w:rFonts w:ascii="楷体" w:hAnsi="楷体" w:eastAsia="楷体"/>
          <w:lang w:eastAsia="zh-CN"/>
        </w:rPr>
      </w:pPr>
      <w:r>
        <w:rPr>
          <w:rFonts w:hint="eastAsia" w:ascii="楷体" w:hAnsi="楷体" w:eastAsia="楷体"/>
          <w:lang w:eastAsia="zh-CN"/>
        </w:rPr>
        <w:t>面向新生奖学金、助学金的相关文件,以及本专业学生获得情况</w:t>
      </w:r>
    </w:p>
    <w:p>
      <w:pPr>
        <w:pStyle w:val="71"/>
        <w:spacing w:line="360" w:lineRule="auto"/>
        <w:ind w:left="1109"/>
        <w:rPr>
          <w:rFonts w:ascii="楷体" w:hAnsi="楷体" w:eastAsia="楷体"/>
          <w:lang w:eastAsia="zh-CN"/>
        </w:rPr>
      </w:pPr>
      <w:r>
        <w:rPr>
          <w:rFonts w:hint="eastAsia" w:ascii="楷体" w:hAnsi="楷体" w:eastAsia="楷体"/>
          <w:lang w:eastAsia="zh-CN"/>
        </w:rPr>
        <w:t>近三年新生录取成绩及变化情况分析</w:t>
      </w:r>
    </w:p>
    <w:p>
      <w:pPr>
        <w:pStyle w:val="71"/>
        <w:spacing w:line="360" w:lineRule="auto"/>
        <w:ind w:left="1109"/>
        <w:rPr>
          <w:b/>
          <w:lang w:eastAsia="zh-CN"/>
        </w:rPr>
      </w:pPr>
    </w:p>
    <w:p>
      <w:pPr>
        <w:spacing w:line="360" w:lineRule="auto"/>
        <w:jc w:val="left"/>
        <w:rPr>
          <w:rFonts w:ascii="黑体" w:hAnsi="黑体" w:eastAsia="黑体"/>
          <w:b/>
          <w:sz w:val="24"/>
          <w:szCs w:val="24"/>
        </w:rPr>
      </w:pPr>
      <w:r>
        <w:rPr>
          <w:rFonts w:hint="eastAsia" w:ascii="黑体" w:hAnsi="黑体" w:eastAsia="黑体"/>
          <w:b/>
          <w:sz w:val="24"/>
          <w:szCs w:val="24"/>
        </w:rPr>
        <w:t xml:space="preserve">    1.2具有完善的学生学习指导、职业规划、就业指导、心理辅导等方面的措施并能够很好地执行落实。</w:t>
      </w:r>
    </w:p>
    <w:p>
      <w:pPr>
        <w:pStyle w:val="71"/>
        <w:spacing w:line="360" w:lineRule="auto"/>
        <w:ind w:left="709"/>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5"/>
        </w:numPr>
        <w:spacing w:line="360" w:lineRule="auto"/>
        <w:rPr>
          <w:rFonts w:ascii="楷体" w:hAnsi="楷体" w:eastAsia="楷体"/>
          <w:lang w:eastAsia="zh-CN"/>
        </w:rPr>
      </w:pPr>
      <w:r>
        <w:rPr>
          <w:rFonts w:hint="eastAsia" w:ascii="楷体" w:hAnsi="楷体" w:eastAsia="楷体"/>
          <w:lang w:eastAsia="zh-CN"/>
        </w:rPr>
        <w:t>专业开展立德树人教育，为学生提供学习指导、职业规划、就业指导、心理辅导的主要制度、责任机构和责任人。</w:t>
      </w:r>
    </w:p>
    <w:p>
      <w:pPr>
        <w:pStyle w:val="71"/>
        <w:numPr>
          <w:ilvl w:val="0"/>
          <w:numId w:val="5"/>
        </w:numPr>
        <w:spacing w:line="360" w:lineRule="auto"/>
        <w:rPr>
          <w:rFonts w:ascii="楷体" w:hAnsi="楷体" w:eastAsia="楷体"/>
          <w:lang w:eastAsia="zh-CN"/>
        </w:rPr>
      </w:pPr>
      <w:r>
        <w:rPr>
          <w:rFonts w:hint="eastAsia" w:ascii="楷体" w:hAnsi="楷体" w:eastAsia="楷体"/>
          <w:lang w:eastAsia="zh-CN"/>
        </w:rPr>
        <w:t>开展学习指导的主要内容、方法和效果。重点说明专业如何引导学生理解和践行社会主义核心价值观，树立良好学风，如何帮助学生理解专业的培养目标和毕业要求，明确课程学习与毕业要求达成的关系；教师在课程教学中如何引导学生明确课程目标，掌握学习方法，自查学习效果等。</w:t>
      </w:r>
    </w:p>
    <w:p>
      <w:pPr>
        <w:pStyle w:val="71"/>
        <w:numPr>
          <w:ilvl w:val="0"/>
          <w:numId w:val="5"/>
        </w:numPr>
        <w:spacing w:line="360" w:lineRule="auto"/>
        <w:rPr>
          <w:rFonts w:ascii="楷体" w:hAnsi="楷体" w:eastAsia="楷体"/>
          <w:lang w:eastAsia="zh-CN"/>
        </w:rPr>
      </w:pPr>
      <w:r>
        <w:rPr>
          <w:rFonts w:hint="eastAsia" w:ascii="楷体" w:hAnsi="楷体" w:eastAsia="楷体"/>
          <w:lang w:eastAsia="zh-CN"/>
        </w:rPr>
        <w:t>职业规划、就业指导、心理辅导的主要内容、方法和效果。</w:t>
      </w:r>
    </w:p>
    <w:p>
      <w:pPr>
        <w:pStyle w:val="71"/>
        <w:spacing w:line="360" w:lineRule="auto"/>
        <w:ind w:left="709"/>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6"/>
        </w:numPr>
        <w:spacing w:line="360" w:lineRule="auto"/>
        <w:rPr>
          <w:rFonts w:ascii="楷体" w:hAnsi="楷体" w:eastAsia="楷体"/>
          <w:lang w:eastAsia="zh-CN"/>
        </w:rPr>
      </w:pPr>
      <w:r>
        <w:rPr>
          <w:rFonts w:hint="eastAsia" w:ascii="楷体" w:hAnsi="楷体" w:eastAsia="楷体"/>
          <w:lang w:eastAsia="zh-CN"/>
        </w:rPr>
        <w:t>学生学习指导、职业规划、就业指导、心理辅导等方面的制度文件</w:t>
      </w:r>
    </w:p>
    <w:p>
      <w:pPr>
        <w:pStyle w:val="71"/>
        <w:numPr>
          <w:ilvl w:val="0"/>
          <w:numId w:val="6"/>
        </w:numPr>
        <w:spacing w:line="360" w:lineRule="auto"/>
        <w:rPr>
          <w:rFonts w:ascii="楷体" w:hAnsi="楷体" w:eastAsia="楷体"/>
          <w:lang w:eastAsia="zh-CN"/>
        </w:rPr>
      </w:pPr>
      <w:r>
        <w:rPr>
          <w:rFonts w:hint="eastAsia" w:ascii="楷体" w:hAnsi="楷体" w:eastAsia="楷体"/>
          <w:lang w:eastAsia="zh-CN"/>
        </w:rPr>
        <w:t>列表说明各项指导活动清单，各项指导活动的过程记录文档</w:t>
      </w:r>
      <w:bookmarkStart w:id="1" w:name="_Hlk500173625"/>
      <w:r>
        <w:rPr>
          <w:rFonts w:hint="eastAsia" w:ascii="楷体" w:hAnsi="楷体" w:eastAsia="楷体"/>
          <w:lang w:eastAsia="zh-CN"/>
        </w:rPr>
        <w:t>（附件中提供文档索引）</w:t>
      </w:r>
      <w:bookmarkEnd w:id="1"/>
    </w:p>
    <w:p>
      <w:pPr>
        <w:pStyle w:val="71"/>
        <w:numPr>
          <w:ilvl w:val="0"/>
          <w:numId w:val="6"/>
        </w:numPr>
        <w:spacing w:line="360" w:lineRule="auto"/>
        <w:rPr>
          <w:rFonts w:ascii="楷体" w:hAnsi="楷体" w:eastAsia="楷体"/>
          <w:lang w:eastAsia="zh-CN"/>
        </w:rPr>
      </w:pPr>
      <w:r>
        <w:rPr>
          <w:rFonts w:hint="eastAsia" w:ascii="楷体" w:hAnsi="楷体" w:eastAsia="楷体"/>
          <w:lang w:eastAsia="zh-CN"/>
        </w:rPr>
        <w:t>对各项活动开展情况的检查和监督记录（附件中提供文档索引）</w:t>
      </w:r>
    </w:p>
    <w:p>
      <w:pPr>
        <w:spacing w:line="360" w:lineRule="auto"/>
        <w:jc w:val="left"/>
        <w:rPr>
          <w:rFonts w:ascii="黑体" w:hAnsi="黑体" w:eastAsia="黑体"/>
          <w:b/>
          <w:sz w:val="24"/>
          <w:szCs w:val="24"/>
        </w:rPr>
      </w:pPr>
    </w:p>
    <w:p>
      <w:pPr>
        <w:spacing w:line="360" w:lineRule="auto"/>
        <w:ind w:firstLine="482" w:firstLineChars="200"/>
        <w:jc w:val="left"/>
        <w:rPr>
          <w:rFonts w:ascii="黑体" w:hAnsi="黑体" w:eastAsia="黑体"/>
          <w:b/>
          <w:sz w:val="24"/>
          <w:szCs w:val="24"/>
        </w:rPr>
      </w:pPr>
      <w:r>
        <w:rPr>
          <w:rFonts w:hint="eastAsia" w:ascii="黑体" w:hAnsi="黑体" w:eastAsia="黑体"/>
          <w:b/>
          <w:sz w:val="24"/>
          <w:szCs w:val="24"/>
        </w:rPr>
        <w:t>1.3 对学生在整个学习过程中的表现进行跟踪与评估，并通过形成性评价保证学生毕业时达到毕业要求。</w:t>
      </w:r>
    </w:p>
    <w:p>
      <w:pPr>
        <w:pStyle w:val="71"/>
        <w:spacing w:line="360" w:lineRule="auto"/>
        <w:ind w:left="709" w:firstLine="140" w:firstLineChars="58"/>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7"/>
        </w:numPr>
        <w:spacing w:line="360" w:lineRule="auto"/>
        <w:rPr>
          <w:rFonts w:ascii="楷体" w:hAnsi="楷体" w:eastAsia="楷体"/>
          <w:lang w:eastAsia="zh-CN"/>
        </w:rPr>
      </w:pPr>
      <w:r>
        <w:rPr>
          <w:rFonts w:hint="eastAsia" w:ascii="楷体" w:hAnsi="楷体" w:eastAsia="楷体"/>
          <w:lang w:eastAsia="zh-CN"/>
        </w:rPr>
        <w:t>本专业对学生毕业、</w:t>
      </w:r>
      <w:r>
        <w:rPr>
          <w:rFonts w:ascii="楷体" w:hAnsi="楷体" w:eastAsia="楷体"/>
          <w:lang w:eastAsia="zh-CN"/>
        </w:rPr>
        <w:t>获得学位</w:t>
      </w:r>
      <w:r>
        <w:rPr>
          <w:rFonts w:hint="eastAsia" w:ascii="楷体" w:hAnsi="楷体" w:eastAsia="楷体"/>
          <w:lang w:eastAsia="zh-CN"/>
        </w:rPr>
        <w:t>的管理规定，对各类考核合格标准的控制措施。</w:t>
      </w:r>
    </w:p>
    <w:p>
      <w:pPr>
        <w:pStyle w:val="71"/>
        <w:numPr>
          <w:ilvl w:val="0"/>
          <w:numId w:val="7"/>
        </w:numPr>
        <w:spacing w:line="360" w:lineRule="auto"/>
        <w:rPr>
          <w:rFonts w:ascii="楷体" w:hAnsi="楷体" w:eastAsia="楷体"/>
          <w:lang w:eastAsia="zh-CN"/>
        </w:rPr>
      </w:pPr>
      <w:r>
        <w:rPr>
          <w:rFonts w:hint="eastAsia" w:ascii="楷体" w:hAnsi="楷体" w:eastAsia="楷体"/>
          <w:lang w:eastAsia="zh-CN"/>
        </w:rPr>
        <w:t>本专业对学生在学习过程中的表现进行跟踪、评估和评价的相关规定（包括责任机构，责任人，跟踪评估与评价的内容和方法等）。</w:t>
      </w:r>
    </w:p>
    <w:p>
      <w:pPr>
        <w:pStyle w:val="71"/>
        <w:numPr>
          <w:ilvl w:val="0"/>
          <w:numId w:val="7"/>
        </w:numPr>
        <w:spacing w:line="360" w:lineRule="auto"/>
        <w:rPr>
          <w:rFonts w:ascii="楷体" w:hAnsi="楷体" w:eastAsia="楷体"/>
          <w:lang w:eastAsia="zh-CN"/>
        </w:rPr>
      </w:pPr>
      <w:r>
        <w:rPr>
          <w:rFonts w:hint="eastAsia" w:ascii="楷体" w:hAnsi="楷体" w:eastAsia="楷体"/>
          <w:lang w:eastAsia="zh-CN"/>
        </w:rPr>
        <w:t>以1-2门专业核心课程为例，说明课程如何跟踪和评估学生的学习表现，如何根据评估收集的信息，评价和判断学生个体的学业情况，并据此采取改进措施，帮助学生达成课程目标等。</w:t>
      </w:r>
    </w:p>
    <w:p>
      <w:pPr>
        <w:pStyle w:val="71"/>
        <w:numPr>
          <w:ilvl w:val="0"/>
          <w:numId w:val="7"/>
        </w:numPr>
        <w:spacing w:line="360" w:lineRule="auto"/>
        <w:rPr>
          <w:rFonts w:ascii="楷体" w:hAnsi="楷体" w:eastAsia="楷体"/>
          <w:lang w:eastAsia="zh-CN"/>
        </w:rPr>
      </w:pPr>
      <w:r>
        <w:rPr>
          <w:rFonts w:hint="eastAsia" w:ascii="楷体" w:hAnsi="楷体" w:eastAsia="楷体"/>
          <w:lang w:eastAsia="zh-CN"/>
        </w:rPr>
        <w:t>本专业的学业预警制度，对学业有困难学生的帮扶措施和</w:t>
      </w:r>
      <w:r>
        <w:rPr>
          <w:rFonts w:ascii="楷体" w:hAnsi="楷体" w:eastAsia="楷体"/>
          <w:lang w:eastAsia="zh-CN"/>
        </w:rPr>
        <w:t>取得的效果</w:t>
      </w:r>
      <w:r>
        <w:rPr>
          <w:rFonts w:hint="eastAsia" w:ascii="楷体" w:hAnsi="楷体" w:eastAsia="楷体"/>
          <w:lang w:eastAsia="zh-CN"/>
        </w:rPr>
        <w:t>。</w:t>
      </w:r>
    </w:p>
    <w:p>
      <w:pPr>
        <w:pStyle w:val="71"/>
        <w:numPr>
          <w:ilvl w:val="0"/>
          <w:numId w:val="7"/>
        </w:numPr>
        <w:spacing w:line="360" w:lineRule="auto"/>
        <w:rPr>
          <w:rFonts w:ascii="楷体" w:hAnsi="楷体" w:eastAsia="楷体"/>
          <w:lang w:eastAsia="zh-CN"/>
        </w:rPr>
      </w:pPr>
      <w:r>
        <w:rPr>
          <w:rFonts w:hint="eastAsia" w:ascii="楷体" w:hAnsi="楷体" w:eastAsia="楷体"/>
          <w:lang w:eastAsia="zh-CN"/>
        </w:rPr>
        <w:t>近三年的毕业率和学位授予率的统计数据。</w:t>
      </w:r>
    </w:p>
    <w:p>
      <w:pPr>
        <w:pStyle w:val="71"/>
        <w:spacing w:line="360" w:lineRule="auto"/>
        <w:ind w:left="851"/>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8"/>
        </w:numPr>
        <w:spacing w:line="360" w:lineRule="auto"/>
        <w:rPr>
          <w:rFonts w:ascii="楷体" w:hAnsi="楷体" w:eastAsia="楷体"/>
          <w:lang w:eastAsia="zh-CN"/>
        </w:rPr>
      </w:pPr>
      <w:r>
        <w:rPr>
          <w:rFonts w:hint="eastAsia" w:ascii="楷体" w:hAnsi="楷体" w:eastAsia="楷体"/>
          <w:lang w:eastAsia="zh-CN"/>
        </w:rPr>
        <w:t>关于学生学业要求的相关文件</w:t>
      </w:r>
    </w:p>
    <w:p>
      <w:pPr>
        <w:pStyle w:val="71"/>
        <w:numPr>
          <w:ilvl w:val="0"/>
          <w:numId w:val="8"/>
        </w:numPr>
        <w:spacing w:line="360" w:lineRule="auto"/>
        <w:rPr>
          <w:rFonts w:ascii="楷体" w:hAnsi="楷体" w:eastAsia="楷体"/>
          <w:lang w:eastAsia="zh-CN"/>
        </w:rPr>
      </w:pPr>
      <w:r>
        <w:rPr>
          <w:rFonts w:hint="eastAsia" w:ascii="楷体" w:hAnsi="楷体" w:eastAsia="楷体"/>
          <w:lang w:eastAsia="zh-CN"/>
        </w:rPr>
        <w:t>专业对学生学业跟踪评估和评价的相关文档</w:t>
      </w:r>
    </w:p>
    <w:p>
      <w:pPr>
        <w:pStyle w:val="71"/>
        <w:numPr>
          <w:ilvl w:val="0"/>
          <w:numId w:val="8"/>
        </w:numPr>
        <w:spacing w:line="360" w:lineRule="auto"/>
        <w:rPr>
          <w:rFonts w:ascii="楷体" w:hAnsi="楷体" w:eastAsia="楷体"/>
          <w:lang w:eastAsia="zh-CN"/>
        </w:rPr>
      </w:pPr>
      <w:r>
        <w:rPr>
          <w:rFonts w:hint="eastAsia" w:ascii="楷体" w:hAnsi="楷体" w:eastAsia="楷体"/>
          <w:lang w:eastAsia="zh-CN"/>
        </w:rPr>
        <w:t>对学业有困难学生帮扶措施和</w:t>
      </w:r>
      <w:r>
        <w:rPr>
          <w:rFonts w:ascii="楷体" w:hAnsi="楷体" w:eastAsia="楷体"/>
          <w:lang w:eastAsia="zh-CN"/>
        </w:rPr>
        <w:t>取得的效果</w:t>
      </w:r>
      <w:r>
        <w:rPr>
          <w:rFonts w:hint="eastAsia" w:ascii="楷体" w:hAnsi="楷体" w:eastAsia="楷体"/>
          <w:lang w:eastAsia="zh-CN"/>
        </w:rPr>
        <w:t>的相关文档</w:t>
      </w:r>
    </w:p>
    <w:p>
      <w:pPr>
        <w:pStyle w:val="71"/>
        <w:numPr>
          <w:ilvl w:val="0"/>
          <w:numId w:val="8"/>
        </w:numPr>
        <w:spacing w:line="360" w:lineRule="auto"/>
        <w:rPr>
          <w:rFonts w:ascii="楷体" w:hAnsi="楷体" w:eastAsia="楷体"/>
          <w:lang w:eastAsia="zh-CN"/>
        </w:rPr>
      </w:pPr>
      <w:r>
        <w:rPr>
          <w:rFonts w:hint="eastAsia" w:ascii="楷体" w:hAnsi="楷体" w:eastAsia="楷体"/>
          <w:lang w:eastAsia="zh-CN"/>
        </w:rPr>
        <w:t>学生跟踪评估和学业帮扶的原始记录（附件中提供材料索引）</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 xml:space="preserve">    1.4</w:t>
      </w:r>
      <w:r>
        <w:rPr>
          <w:rFonts w:ascii="黑体" w:eastAsia="黑体"/>
          <w:b/>
          <w:sz w:val="24"/>
          <w:szCs w:val="24"/>
        </w:rPr>
        <w:t xml:space="preserve"> </w:t>
      </w:r>
      <w:r>
        <w:rPr>
          <w:rFonts w:hint="eastAsia" w:ascii="黑体" w:eastAsia="黑体"/>
          <w:b/>
          <w:sz w:val="24"/>
          <w:szCs w:val="24"/>
        </w:rPr>
        <w:t>有明确的规定和相应认定过程，认可转专业、转学学生的原有学分。</w:t>
      </w:r>
    </w:p>
    <w:p>
      <w:pPr>
        <w:pStyle w:val="71"/>
        <w:spacing w:line="360" w:lineRule="auto"/>
        <w:ind w:left="851"/>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9"/>
        </w:numPr>
        <w:spacing w:line="360" w:lineRule="auto"/>
        <w:rPr>
          <w:rFonts w:ascii="楷体" w:hAnsi="楷体" w:eastAsia="楷体"/>
          <w:lang w:eastAsia="zh-CN"/>
        </w:rPr>
      </w:pPr>
      <w:r>
        <w:rPr>
          <w:rFonts w:hint="eastAsia" w:ascii="楷体" w:hAnsi="楷体" w:eastAsia="楷体"/>
          <w:lang w:eastAsia="zh-CN"/>
        </w:rPr>
        <w:t>学校和专业对转专业、转学学生学分认定的相关文件。</w:t>
      </w:r>
    </w:p>
    <w:p>
      <w:pPr>
        <w:pStyle w:val="71"/>
        <w:numPr>
          <w:ilvl w:val="0"/>
          <w:numId w:val="9"/>
        </w:numPr>
        <w:spacing w:line="360" w:lineRule="auto"/>
        <w:rPr>
          <w:rFonts w:ascii="楷体" w:hAnsi="楷体" w:eastAsia="楷体"/>
          <w:lang w:eastAsia="zh-CN"/>
        </w:rPr>
      </w:pPr>
      <w:r>
        <w:rPr>
          <w:rFonts w:hint="eastAsia" w:ascii="楷体" w:hAnsi="楷体" w:eastAsia="楷体"/>
          <w:lang w:eastAsia="zh-CN"/>
        </w:rPr>
        <w:t>专业对转入学生原有学分的认定依据、认定程序和负责人，重点说明判定学分等效性的主要依据。</w:t>
      </w:r>
    </w:p>
    <w:p>
      <w:pPr>
        <w:pStyle w:val="71"/>
        <w:numPr>
          <w:ilvl w:val="0"/>
          <w:numId w:val="9"/>
        </w:numPr>
        <w:spacing w:line="360" w:lineRule="auto"/>
        <w:rPr>
          <w:rFonts w:ascii="楷体" w:hAnsi="楷体" w:eastAsia="楷体"/>
          <w:lang w:eastAsia="zh-CN"/>
        </w:rPr>
      </w:pPr>
      <w:r>
        <w:rPr>
          <w:rFonts w:hint="eastAsia" w:ascii="楷体" w:hAnsi="楷体" w:eastAsia="楷体"/>
          <w:lang w:eastAsia="zh-CN"/>
        </w:rPr>
        <w:t>提供近三年转入本专业学生情况</w:t>
      </w:r>
      <w:r>
        <w:rPr>
          <w:rFonts w:ascii="楷体" w:hAnsi="楷体" w:eastAsia="楷体"/>
          <w:lang w:eastAsia="zh-CN"/>
        </w:rPr>
        <w:t>（</w:t>
      </w:r>
      <w:r>
        <w:rPr>
          <w:rFonts w:hint="eastAsia" w:ascii="楷体" w:hAnsi="楷体" w:eastAsia="楷体"/>
          <w:lang w:eastAsia="zh-CN"/>
        </w:rPr>
        <w:t>包括转入学生</w:t>
      </w:r>
      <w:r>
        <w:rPr>
          <w:rFonts w:ascii="楷体" w:hAnsi="楷体" w:eastAsia="楷体"/>
          <w:lang w:eastAsia="zh-CN"/>
        </w:rPr>
        <w:t>和原专业清单）</w:t>
      </w:r>
      <w:r>
        <w:rPr>
          <w:rFonts w:hint="eastAsia" w:ascii="楷体" w:hAnsi="楷体" w:eastAsia="楷体"/>
          <w:lang w:eastAsia="zh-CN"/>
        </w:rPr>
        <w:t>，以及原有学分认定的实例。</w:t>
      </w:r>
    </w:p>
    <w:p>
      <w:pPr>
        <w:pStyle w:val="71"/>
        <w:spacing w:line="360" w:lineRule="auto"/>
        <w:ind w:left="851"/>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10"/>
        </w:numPr>
        <w:spacing w:line="360" w:lineRule="auto"/>
        <w:rPr>
          <w:rFonts w:ascii="楷体" w:hAnsi="楷体" w:eastAsia="楷体"/>
          <w:lang w:eastAsia="zh-CN"/>
        </w:rPr>
      </w:pPr>
      <w:r>
        <w:rPr>
          <w:rFonts w:hint="eastAsia" w:ascii="楷体" w:hAnsi="楷体" w:eastAsia="楷体"/>
          <w:lang w:eastAsia="zh-CN"/>
        </w:rPr>
        <w:t>转学转专业的相关制度文件</w:t>
      </w:r>
    </w:p>
    <w:p>
      <w:pPr>
        <w:pStyle w:val="71"/>
        <w:numPr>
          <w:ilvl w:val="0"/>
          <w:numId w:val="10"/>
        </w:numPr>
        <w:spacing w:line="360" w:lineRule="auto"/>
        <w:rPr>
          <w:rFonts w:ascii="楷体" w:hAnsi="楷体" w:eastAsia="楷体"/>
          <w:lang w:eastAsia="zh-CN"/>
        </w:rPr>
      </w:pPr>
      <w:r>
        <w:rPr>
          <w:rFonts w:hint="eastAsia" w:ascii="楷体" w:hAnsi="楷体" w:eastAsia="楷体"/>
          <w:lang w:eastAsia="zh-CN"/>
        </w:rPr>
        <w:t>近三年转入学生原有学分认定的过程资料（附件中提供资料索引）</w:t>
      </w:r>
    </w:p>
    <w:p>
      <w:pPr>
        <w:spacing w:line="360" w:lineRule="auto"/>
        <w:ind w:firstLine="708" w:firstLineChars="295"/>
        <w:jc w:val="left"/>
        <w:rPr>
          <w:rFonts w:ascii="楷体" w:hAnsi="楷体" w:eastAsia="楷体"/>
          <w:sz w:val="24"/>
          <w:szCs w:val="24"/>
        </w:rPr>
      </w:pPr>
    </w:p>
    <w:p>
      <w:pPr>
        <w:spacing w:line="360" w:lineRule="auto"/>
        <w:jc w:val="left"/>
        <w:rPr>
          <w:rFonts w:ascii="黑体" w:hAnsi="黑体" w:eastAsia="黑体"/>
          <w:sz w:val="28"/>
          <w:szCs w:val="28"/>
        </w:rPr>
      </w:pPr>
      <w:r>
        <w:rPr>
          <w:rFonts w:ascii="黑体" w:hAnsi="黑体" w:eastAsia="黑体"/>
          <w:sz w:val="28"/>
          <w:szCs w:val="28"/>
        </w:rPr>
        <w:t xml:space="preserve">2 </w:t>
      </w:r>
      <w:r>
        <w:rPr>
          <w:rFonts w:hint="eastAsia" w:ascii="黑体" w:hAnsi="黑体" w:eastAsia="黑体"/>
          <w:sz w:val="28"/>
          <w:szCs w:val="28"/>
        </w:rPr>
        <w:t>培养目标</w:t>
      </w:r>
    </w:p>
    <w:p>
      <w:pPr>
        <w:pStyle w:val="71"/>
        <w:numPr>
          <w:ilvl w:val="1"/>
          <w:numId w:val="11"/>
        </w:numPr>
        <w:spacing w:line="360" w:lineRule="auto"/>
        <w:rPr>
          <w:rFonts w:ascii="黑体" w:hAnsi="黑体" w:eastAsia="黑体"/>
          <w:b/>
          <w:lang w:eastAsia="zh-CN"/>
        </w:rPr>
      </w:pPr>
      <w:r>
        <w:rPr>
          <w:rFonts w:hint="eastAsia" w:ascii="黑体" w:eastAsia="黑体"/>
          <w:b/>
          <w:lang w:eastAsia="zh-CN"/>
        </w:rPr>
        <w:t>有公开的、符合学校定位的、适应社会经济发展需要的培养目标。</w:t>
      </w:r>
    </w:p>
    <w:p>
      <w:pPr>
        <w:pStyle w:val="71"/>
        <w:spacing w:line="360" w:lineRule="auto"/>
        <w:ind w:left="709" w:firstLine="140" w:firstLineChars="58"/>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12"/>
        </w:numPr>
        <w:spacing w:line="360" w:lineRule="auto"/>
        <w:rPr>
          <w:rFonts w:ascii="楷体" w:hAnsi="楷体" w:eastAsia="楷体"/>
          <w:lang w:eastAsia="zh-CN"/>
        </w:rPr>
      </w:pPr>
      <w:r>
        <w:rPr>
          <w:rFonts w:hint="eastAsia" w:ascii="楷体" w:hAnsi="楷体" w:eastAsia="楷体"/>
          <w:lang w:eastAsia="zh-CN"/>
        </w:rPr>
        <w:t>本专业培养目标的原文（明确该目标出自哪版培养方案）。培养目标应体现</w:t>
      </w:r>
      <w:r>
        <w:rPr>
          <w:rFonts w:hint="eastAsia" w:ascii="楷体" w:hAnsi="楷体" w:eastAsia="楷体"/>
          <w:color w:val="000000"/>
          <w:lang w:eastAsia="zh-CN"/>
        </w:rPr>
        <w:t>培养社会主义建设者和接班人的总目标，明确</w:t>
      </w:r>
      <w:r>
        <w:rPr>
          <w:rFonts w:hint="eastAsia" w:ascii="楷体" w:hAnsi="楷体" w:eastAsia="楷体"/>
          <w:lang w:eastAsia="zh-CN"/>
        </w:rPr>
        <w:t>毕业生服务领域、职业特征、人才定位以及职业能力的预期。</w:t>
      </w:r>
    </w:p>
    <w:p>
      <w:pPr>
        <w:pStyle w:val="71"/>
        <w:numPr>
          <w:ilvl w:val="0"/>
          <w:numId w:val="12"/>
        </w:numPr>
        <w:spacing w:line="360" w:lineRule="auto"/>
        <w:rPr>
          <w:rFonts w:ascii="楷体" w:hAnsi="楷体" w:eastAsia="楷体"/>
          <w:lang w:eastAsia="zh-CN"/>
        </w:rPr>
      </w:pPr>
      <w:r>
        <w:rPr>
          <w:rFonts w:hint="eastAsia" w:ascii="楷体" w:hAnsi="楷体" w:eastAsia="楷体"/>
          <w:lang w:eastAsia="zh-CN"/>
        </w:rPr>
        <w:t>专业培养目标与学校人才培养定位、专业人才培养特色、社会经济发展需要的关系。</w:t>
      </w:r>
    </w:p>
    <w:p>
      <w:pPr>
        <w:pStyle w:val="71"/>
        <w:numPr>
          <w:ilvl w:val="0"/>
          <w:numId w:val="12"/>
        </w:numPr>
        <w:spacing w:line="360" w:lineRule="auto"/>
        <w:rPr>
          <w:rFonts w:ascii="楷体" w:hAnsi="楷体" w:eastAsia="楷体"/>
          <w:lang w:eastAsia="zh-CN"/>
        </w:rPr>
      </w:pPr>
      <w:r>
        <w:rPr>
          <w:rFonts w:hint="eastAsia" w:ascii="楷体" w:hAnsi="楷体" w:eastAsia="楷体"/>
          <w:lang w:eastAsia="zh-CN"/>
        </w:rPr>
        <w:t>培养目标向学生</w:t>
      </w:r>
      <w:r>
        <w:rPr>
          <w:rFonts w:ascii="楷体" w:hAnsi="楷体" w:eastAsia="楷体"/>
          <w:lang w:eastAsia="zh-CN"/>
        </w:rPr>
        <w:t>、教师和社会</w:t>
      </w:r>
      <w:r>
        <w:rPr>
          <w:rFonts w:hint="eastAsia" w:ascii="楷体" w:hAnsi="楷体" w:eastAsia="楷体"/>
          <w:lang w:eastAsia="zh-CN"/>
        </w:rPr>
        <w:t>公开的渠道。</w:t>
      </w:r>
    </w:p>
    <w:p>
      <w:pPr>
        <w:pStyle w:val="71"/>
        <w:spacing w:line="360" w:lineRule="auto"/>
        <w:ind w:left="851"/>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13"/>
        </w:numPr>
        <w:spacing w:line="360" w:lineRule="auto"/>
        <w:rPr>
          <w:rFonts w:ascii="楷体" w:hAnsi="楷体" w:eastAsia="楷体"/>
          <w:lang w:eastAsia="zh-CN"/>
        </w:rPr>
      </w:pPr>
      <w:r>
        <w:rPr>
          <w:rFonts w:hint="eastAsia" w:ascii="楷体" w:hAnsi="楷体" w:eastAsia="楷体"/>
          <w:lang w:eastAsia="zh-CN"/>
        </w:rPr>
        <w:t>专业培养目标制定和论证的记录性资料（附件中提供资料索引）</w:t>
      </w:r>
    </w:p>
    <w:p>
      <w:pPr>
        <w:pStyle w:val="71"/>
        <w:numPr>
          <w:ilvl w:val="0"/>
          <w:numId w:val="13"/>
        </w:numPr>
        <w:spacing w:line="360" w:lineRule="auto"/>
        <w:rPr>
          <w:rFonts w:ascii="楷体" w:hAnsi="楷体" w:eastAsia="楷体"/>
          <w:lang w:eastAsia="zh-CN"/>
        </w:rPr>
      </w:pPr>
      <w:r>
        <w:rPr>
          <w:rFonts w:hint="eastAsia" w:ascii="楷体" w:hAnsi="楷体" w:eastAsia="楷体"/>
          <w:lang w:eastAsia="zh-CN"/>
        </w:rPr>
        <w:t>学校人才培养定位的相关文件</w:t>
      </w:r>
    </w:p>
    <w:p>
      <w:pPr>
        <w:pStyle w:val="71"/>
        <w:numPr>
          <w:ilvl w:val="0"/>
          <w:numId w:val="13"/>
        </w:numPr>
        <w:spacing w:line="360" w:lineRule="auto"/>
        <w:rPr>
          <w:rFonts w:ascii="楷体" w:hAnsi="楷体" w:eastAsia="楷体"/>
          <w:lang w:eastAsia="zh-CN"/>
        </w:rPr>
      </w:pPr>
      <w:r>
        <w:rPr>
          <w:rFonts w:hint="eastAsia" w:ascii="楷体" w:hAnsi="楷体" w:eastAsia="楷体"/>
          <w:lang w:eastAsia="zh-CN"/>
        </w:rPr>
        <w:t>与专业相关的社会经济发展需求的调研分析报告</w:t>
      </w:r>
    </w:p>
    <w:p>
      <w:pPr>
        <w:spacing w:line="360" w:lineRule="auto"/>
        <w:ind w:firstLine="708" w:firstLineChars="295"/>
        <w:jc w:val="left"/>
        <w:rPr>
          <w:rFonts w:ascii="楷体" w:hAnsi="楷体" w:eastAsia="楷体"/>
          <w:sz w:val="24"/>
          <w:szCs w:val="24"/>
        </w:rPr>
      </w:pPr>
    </w:p>
    <w:p>
      <w:pPr>
        <w:spacing w:line="360" w:lineRule="auto"/>
        <w:ind w:firstLine="482" w:firstLineChars="200"/>
        <w:jc w:val="left"/>
        <w:rPr>
          <w:rFonts w:ascii="黑体" w:hAnsi="黑体" w:eastAsia="黑体"/>
          <w:sz w:val="24"/>
          <w:szCs w:val="24"/>
        </w:rPr>
      </w:pPr>
      <w:r>
        <w:rPr>
          <w:rFonts w:hint="eastAsia" w:ascii="黑体" w:eastAsia="黑体"/>
          <w:b/>
          <w:sz w:val="24"/>
          <w:szCs w:val="24"/>
        </w:rPr>
        <w:t>2.2 定期评价培养目标的合理性并根据评价结果对培养目标进行修订，评价与修订过程有行业或企业专家参与。</w:t>
      </w:r>
    </w:p>
    <w:p>
      <w:pPr>
        <w:pStyle w:val="71"/>
        <w:spacing w:line="360" w:lineRule="auto"/>
        <w:ind w:left="851"/>
        <w:rPr>
          <w:rFonts w:ascii="楷体" w:hAnsi="楷体" w:eastAsia="楷体"/>
          <w:b/>
          <w:lang w:eastAsia="zh-CN"/>
        </w:rPr>
      </w:pPr>
      <w:r>
        <w:rPr>
          <w:rFonts w:hint="eastAsia" w:ascii="楷体" w:hAnsi="楷体" w:eastAsia="楷体"/>
          <w:b/>
          <w:lang w:eastAsia="zh-CN"/>
        </w:rPr>
        <w:t>（1）需要说明的情况：</w:t>
      </w:r>
    </w:p>
    <w:p>
      <w:pPr>
        <w:pStyle w:val="71"/>
        <w:numPr>
          <w:ilvl w:val="0"/>
          <w:numId w:val="14"/>
        </w:numPr>
        <w:spacing w:line="360" w:lineRule="auto"/>
        <w:rPr>
          <w:rFonts w:ascii="楷体" w:hAnsi="楷体" w:eastAsia="楷体"/>
          <w:lang w:eastAsia="zh-CN"/>
        </w:rPr>
      </w:pPr>
      <w:r>
        <w:rPr>
          <w:rFonts w:hint="eastAsia" w:ascii="楷体" w:hAnsi="楷体" w:eastAsia="楷体"/>
          <w:lang w:eastAsia="zh-CN"/>
        </w:rPr>
        <w:t>专业开展培养目标合理性评价的相关规定，包括评价工作责任机构、评价周期、评价内容、信息收集的渠道和方法、评价结果的形成过程等。</w:t>
      </w:r>
    </w:p>
    <w:p>
      <w:pPr>
        <w:pStyle w:val="71"/>
        <w:numPr>
          <w:ilvl w:val="0"/>
          <w:numId w:val="14"/>
        </w:numPr>
        <w:spacing w:line="360" w:lineRule="auto"/>
        <w:rPr>
          <w:rFonts w:ascii="楷体" w:hAnsi="楷体" w:eastAsia="楷体"/>
          <w:lang w:eastAsia="zh-CN"/>
        </w:rPr>
      </w:pPr>
      <w:r>
        <w:rPr>
          <w:rFonts w:hint="eastAsia" w:ascii="楷体" w:hAnsi="楷体" w:eastAsia="楷体"/>
          <w:lang w:eastAsia="zh-CN"/>
        </w:rPr>
        <w:t>最近一次的培养目标合理性评价的过程和</w:t>
      </w:r>
      <w:r>
        <w:rPr>
          <w:rFonts w:ascii="楷体" w:hAnsi="楷体" w:eastAsia="楷体"/>
          <w:lang w:eastAsia="zh-CN"/>
        </w:rPr>
        <w:t>结</w:t>
      </w:r>
      <w:r>
        <w:rPr>
          <w:rFonts w:hint="eastAsia" w:ascii="楷体" w:hAnsi="楷体" w:eastAsia="楷体"/>
          <w:lang w:eastAsia="zh-CN"/>
        </w:rPr>
        <w:t>果。</w:t>
      </w:r>
    </w:p>
    <w:p>
      <w:pPr>
        <w:pStyle w:val="71"/>
        <w:numPr>
          <w:ilvl w:val="0"/>
          <w:numId w:val="14"/>
        </w:numPr>
        <w:spacing w:line="360" w:lineRule="auto"/>
        <w:rPr>
          <w:rFonts w:ascii="楷体" w:hAnsi="楷体" w:eastAsia="楷体"/>
          <w:lang w:eastAsia="zh-CN"/>
        </w:rPr>
      </w:pPr>
      <w:r>
        <w:rPr>
          <w:rFonts w:hint="eastAsia" w:ascii="楷体" w:hAnsi="楷体" w:eastAsia="楷体"/>
          <w:lang w:eastAsia="zh-CN"/>
        </w:rPr>
        <w:t>关于培养目标修订的相关制度，包括修订周期、修订依据、修订程序、主要参与人员。</w:t>
      </w:r>
    </w:p>
    <w:p>
      <w:pPr>
        <w:pStyle w:val="71"/>
        <w:numPr>
          <w:ilvl w:val="0"/>
          <w:numId w:val="14"/>
        </w:numPr>
        <w:spacing w:line="360" w:lineRule="auto"/>
        <w:rPr>
          <w:rFonts w:ascii="楷体" w:hAnsi="楷体" w:eastAsia="楷体"/>
          <w:lang w:eastAsia="zh-CN"/>
        </w:rPr>
      </w:pPr>
      <w:r>
        <w:rPr>
          <w:rFonts w:hint="eastAsia" w:ascii="楷体" w:hAnsi="楷体" w:eastAsia="楷体"/>
          <w:lang w:eastAsia="zh-CN"/>
        </w:rPr>
        <w:t>最近一次培养目标修订的时间、内容和依据等，重点</w:t>
      </w:r>
      <w:r>
        <w:rPr>
          <w:rFonts w:ascii="楷体" w:hAnsi="楷体" w:eastAsia="楷体"/>
          <w:lang w:eastAsia="zh-CN"/>
        </w:rPr>
        <w:t>说明</w:t>
      </w:r>
      <w:r>
        <w:rPr>
          <w:rFonts w:hint="eastAsia" w:ascii="楷体" w:hAnsi="楷体" w:eastAsia="楷体"/>
          <w:lang w:eastAsia="zh-CN"/>
        </w:rPr>
        <w:t>培养目标合理性评价</w:t>
      </w:r>
      <w:r>
        <w:rPr>
          <w:rFonts w:ascii="楷体" w:hAnsi="楷体" w:eastAsia="楷体"/>
          <w:lang w:eastAsia="zh-CN"/>
        </w:rPr>
        <w:t>结果</w:t>
      </w:r>
      <w:r>
        <w:rPr>
          <w:rFonts w:hint="eastAsia" w:ascii="楷体" w:hAnsi="楷体" w:eastAsia="楷体"/>
          <w:lang w:eastAsia="zh-CN"/>
        </w:rPr>
        <w:t>在修订过程中发挥的</w:t>
      </w:r>
      <w:r>
        <w:rPr>
          <w:rFonts w:ascii="楷体" w:hAnsi="楷体" w:eastAsia="楷体"/>
          <w:lang w:eastAsia="zh-CN"/>
        </w:rPr>
        <w:t>作用。</w:t>
      </w:r>
    </w:p>
    <w:p>
      <w:pPr>
        <w:pStyle w:val="71"/>
        <w:numPr>
          <w:ilvl w:val="0"/>
          <w:numId w:val="14"/>
        </w:numPr>
        <w:spacing w:line="360" w:lineRule="auto"/>
        <w:rPr>
          <w:rFonts w:ascii="楷体" w:hAnsi="楷体" w:eastAsia="楷体"/>
          <w:lang w:eastAsia="zh-CN"/>
        </w:rPr>
      </w:pPr>
      <w:r>
        <w:rPr>
          <w:rFonts w:hint="eastAsia" w:ascii="楷体" w:hAnsi="楷体" w:eastAsia="楷体"/>
          <w:lang w:eastAsia="zh-CN"/>
        </w:rPr>
        <w:t>行业企业专家参与培养目标评价与修订的相关规定，以及在最近一次评价和修订工作中行业企业专家发挥的作用。</w:t>
      </w:r>
    </w:p>
    <w:p>
      <w:pPr>
        <w:pStyle w:val="71"/>
        <w:spacing w:line="360" w:lineRule="auto"/>
        <w:ind w:left="851"/>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15"/>
        </w:numPr>
        <w:spacing w:line="360" w:lineRule="auto"/>
        <w:rPr>
          <w:rFonts w:ascii="楷体" w:hAnsi="楷体" w:eastAsia="楷体"/>
          <w:lang w:eastAsia="zh-CN"/>
        </w:rPr>
      </w:pPr>
      <w:r>
        <w:rPr>
          <w:rFonts w:hint="eastAsia" w:ascii="楷体" w:hAnsi="楷体" w:eastAsia="楷体"/>
          <w:lang w:eastAsia="zh-CN"/>
        </w:rPr>
        <w:t>培养目标合理性评价和修订的制度文件</w:t>
      </w:r>
    </w:p>
    <w:p>
      <w:pPr>
        <w:pStyle w:val="71"/>
        <w:numPr>
          <w:ilvl w:val="0"/>
          <w:numId w:val="15"/>
        </w:numPr>
        <w:spacing w:line="360" w:lineRule="auto"/>
        <w:rPr>
          <w:rFonts w:ascii="楷体" w:hAnsi="楷体" w:eastAsia="楷体"/>
          <w:lang w:eastAsia="zh-CN"/>
        </w:rPr>
      </w:pPr>
      <w:r>
        <w:rPr>
          <w:rFonts w:hint="eastAsia" w:ascii="楷体" w:hAnsi="楷体" w:eastAsia="楷体"/>
          <w:lang w:eastAsia="zh-CN"/>
        </w:rPr>
        <w:t>近3年专业开展培养目标合理性评价和修订的原始材料（附件中提供材料索引）</w:t>
      </w:r>
    </w:p>
    <w:p>
      <w:pPr>
        <w:spacing w:line="360" w:lineRule="auto"/>
        <w:ind w:firstLine="708" w:firstLineChars="295"/>
        <w:jc w:val="left"/>
        <w:rPr>
          <w:rFonts w:ascii="楷体" w:hAnsi="楷体" w:eastAsia="楷体"/>
          <w:sz w:val="24"/>
          <w:szCs w:val="24"/>
        </w:rPr>
      </w:pPr>
    </w:p>
    <w:p>
      <w:pPr>
        <w:spacing w:line="360" w:lineRule="auto"/>
        <w:jc w:val="left"/>
        <w:rPr>
          <w:rFonts w:ascii="黑体" w:hAnsi="黑体" w:eastAsia="黑体"/>
          <w:sz w:val="28"/>
          <w:szCs w:val="28"/>
        </w:rPr>
      </w:pPr>
      <w:r>
        <w:rPr>
          <w:rFonts w:ascii="黑体" w:hAnsi="黑体" w:eastAsia="黑体"/>
          <w:sz w:val="28"/>
          <w:szCs w:val="28"/>
        </w:rPr>
        <w:t xml:space="preserve">3 </w:t>
      </w:r>
      <w:r>
        <w:rPr>
          <w:rFonts w:hint="eastAsia" w:ascii="黑体" w:hAnsi="黑体" w:eastAsia="黑体"/>
          <w:sz w:val="28"/>
          <w:szCs w:val="28"/>
        </w:rPr>
        <w:t>毕业要求</w:t>
      </w:r>
    </w:p>
    <w:p>
      <w:pPr>
        <w:pStyle w:val="65"/>
        <w:spacing w:before="156" w:beforeLines="50" w:line="360" w:lineRule="auto"/>
        <w:ind w:firstLine="0" w:firstLineChars="0"/>
        <w:jc w:val="left"/>
        <w:rPr>
          <w:rFonts w:ascii="宋体" w:hAnsi="宋体"/>
          <w:sz w:val="18"/>
          <w:szCs w:val="18"/>
        </w:rPr>
      </w:pPr>
      <w:r>
        <w:rPr>
          <w:rFonts w:hint="eastAsia" w:ascii="黑体" w:hAnsi="Times New Roman" w:eastAsia="黑体"/>
          <w:b/>
          <w:sz w:val="24"/>
          <w:szCs w:val="24"/>
        </w:rPr>
        <w:t xml:space="preserve">   专业必须有明确、公开、可衡量的毕业要求, 毕业要求应能支撑培养目标的达成。专业制定的毕业要求应完全覆盖以下内容：</w:t>
      </w:r>
      <w:r>
        <w:rPr>
          <w:rFonts w:hint="eastAsia" w:ascii="宋体" w:hAnsi="宋体"/>
          <w:sz w:val="18"/>
          <w:szCs w:val="18"/>
        </w:rPr>
        <w:t xml:space="preserve"> </w:t>
      </w:r>
    </w:p>
    <w:p>
      <w:pPr>
        <w:pStyle w:val="65"/>
        <w:spacing w:before="156" w:beforeLines="50" w:after="156"/>
        <w:ind w:firstLine="0" w:firstLineChars="0"/>
        <w:jc w:val="left"/>
        <w:rPr>
          <w:rFonts w:ascii="黑体" w:eastAsia="黑体"/>
          <w:b/>
          <w:sz w:val="24"/>
          <w:szCs w:val="24"/>
        </w:rPr>
      </w:pPr>
      <w:r>
        <w:rPr>
          <w:rFonts w:hint="eastAsia" w:ascii="黑体" w:eastAsia="黑体"/>
          <w:b/>
          <w:sz w:val="24"/>
          <w:szCs w:val="24"/>
        </w:rPr>
        <w:t>（1）工程知识：能够将数学、自然科学、工程基础和专业知识用于解决复杂工程问题。</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（2）问题分析：能够应用数学、自然科学和工程科学的基本原理，识别、表达、并通过文献研究分析复杂工程问题，以获得有效结论。</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（3）设计</w:t>
      </w:r>
      <w:r>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（4）研究：能够基于科学原理并采用科学方法对复杂工程问题进行研究，包括设计实验、分析与解释数据、并通过信息综合得到合理有效的结论。</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（5）使用现代工具：能够针对复杂工程问题，开发、选择与使用恰当的技术、资源、现代工程工具和信息技术工具，包括对复杂工程问题的预测与模拟，并能够理解其局限性。</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（6）工程与社会：能够基于工程相关背景知识进行合理分析，评价专业工程实践和复杂工程问题解决方案对社会、健康、安全、法律以及文化的影响，并理解应承担的责任。</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（7）环境和可持续发展：能够理解和评价针对复杂工程问题的工程实践对环境、社会可持续发展的影响。</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（8）职业规范：具有人文社会科学素养、社会责任感，能够在工程实践中理解并遵守工程职业道德和规范，履行责任。</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（9）个人和团队：能够在多学科背景下的团队中承担个体、团队成员以及负责人的角色。</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（11）项目管理：理解并掌握工程管理原理与经济决策方法，并能在多学科环境中应用。</w:t>
      </w:r>
    </w:p>
    <w:p>
      <w:pPr>
        <w:spacing w:before="156" w:beforeLines="50" w:after="156" w:afterLines="50" w:line="360" w:lineRule="auto"/>
        <w:jc w:val="left"/>
        <w:rPr>
          <w:rFonts w:ascii="黑体" w:eastAsia="黑体"/>
          <w:b/>
          <w:sz w:val="24"/>
          <w:szCs w:val="24"/>
        </w:rPr>
      </w:pPr>
      <w:r>
        <w:rPr>
          <w:rFonts w:hint="eastAsia" w:ascii="黑体" w:eastAsia="黑体"/>
          <w:b/>
          <w:sz w:val="24"/>
          <w:szCs w:val="24"/>
        </w:rPr>
        <w:t>（12）终身学习：具有自主学习和终身学习的意识，有不断学习和适应发展的能力。</w:t>
      </w:r>
    </w:p>
    <w:p>
      <w:pPr>
        <w:pStyle w:val="71"/>
        <w:spacing w:line="360" w:lineRule="auto"/>
        <w:ind w:left="709"/>
        <w:rPr>
          <w:rFonts w:ascii="楷体" w:hAnsi="楷体" w:eastAsia="楷体"/>
          <w:b/>
          <w:lang w:eastAsia="zh-CN"/>
        </w:rPr>
      </w:pPr>
      <w:r>
        <w:rPr>
          <w:rFonts w:hint="eastAsia" w:ascii="楷体" w:hAnsi="楷体" w:eastAsia="楷体"/>
          <w:b/>
          <w:lang w:eastAsia="zh-CN"/>
        </w:rPr>
        <w:t>（1）需要说明的情况：</w:t>
      </w:r>
    </w:p>
    <w:p>
      <w:pPr>
        <w:pStyle w:val="71"/>
        <w:numPr>
          <w:ilvl w:val="0"/>
          <w:numId w:val="16"/>
        </w:numPr>
        <w:spacing w:line="360" w:lineRule="auto"/>
        <w:rPr>
          <w:rFonts w:ascii="楷体" w:hAnsi="楷体" w:eastAsia="楷体"/>
          <w:lang w:eastAsia="zh-CN"/>
        </w:rPr>
      </w:pPr>
      <w:r>
        <w:rPr>
          <w:rFonts w:hint="eastAsia" w:ascii="楷体" w:hAnsi="楷体" w:eastAsia="楷体"/>
          <w:lang w:eastAsia="zh-CN"/>
        </w:rPr>
        <w:t>本专业毕业要求的原文</w:t>
      </w:r>
      <w:r>
        <w:rPr>
          <w:rFonts w:hint="eastAsia"/>
          <w:lang w:eastAsia="zh-CN"/>
        </w:rPr>
        <w:t>（</w:t>
      </w:r>
      <w:r>
        <w:rPr>
          <w:rFonts w:hint="eastAsia" w:ascii="楷体" w:hAnsi="楷体" w:eastAsia="楷体"/>
          <w:lang w:eastAsia="zh-CN"/>
        </w:rPr>
        <w:t>注：毕业要求与培养目标应出自同版培养方案）。</w:t>
      </w:r>
    </w:p>
    <w:p>
      <w:pPr>
        <w:pStyle w:val="71"/>
        <w:numPr>
          <w:ilvl w:val="0"/>
          <w:numId w:val="16"/>
        </w:numPr>
        <w:spacing w:line="360" w:lineRule="auto"/>
        <w:rPr>
          <w:rFonts w:ascii="楷体" w:hAnsi="楷体" w:eastAsia="楷体"/>
          <w:lang w:eastAsia="zh-CN"/>
        </w:rPr>
      </w:pPr>
      <w:r>
        <w:rPr>
          <w:rFonts w:hint="eastAsia" w:ascii="楷体" w:hAnsi="楷体" w:eastAsia="楷体"/>
          <w:lang w:eastAsia="zh-CN"/>
        </w:rPr>
        <w:t>每项毕业要求的内涵观测点</w:t>
      </w:r>
      <w:r>
        <w:rPr>
          <w:rFonts w:ascii="楷体" w:hAnsi="楷体" w:eastAsia="楷体"/>
          <w:lang w:eastAsia="zh-CN"/>
        </w:rPr>
        <w:t>。</w:t>
      </w:r>
    </w:p>
    <w:p>
      <w:pPr>
        <w:pStyle w:val="71"/>
        <w:numPr>
          <w:ilvl w:val="0"/>
          <w:numId w:val="16"/>
        </w:numPr>
        <w:spacing w:line="360" w:lineRule="auto"/>
        <w:rPr>
          <w:rFonts w:ascii="楷体" w:hAnsi="楷体" w:eastAsia="楷体"/>
          <w:lang w:eastAsia="zh-CN"/>
        </w:rPr>
      </w:pPr>
      <w:r>
        <w:rPr>
          <w:rFonts w:hint="eastAsia" w:ascii="楷体" w:hAnsi="楷体" w:eastAsia="楷体"/>
          <w:lang w:eastAsia="zh-CN"/>
        </w:rPr>
        <w:t>专业毕业要求对培养目标的支撑情况</w:t>
      </w:r>
      <w:r>
        <w:rPr>
          <w:rFonts w:ascii="楷体" w:hAnsi="楷体" w:eastAsia="楷体"/>
          <w:lang w:eastAsia="zh-CN"/>
        </w:rPr>
        <w:t>。</w:t>
      </w:r>
    </w:p>
    <w:p>
      <w:pPr>
        <w:pStyle w:val="71"/>
        <w:numPr>
          <w:ilvl w:val="0"/>
          <w:numId w:val="16"/>
        </w:numPr>
        <w:spacing w:line="360" w:lineRule="auto"/>
        <w:rPr>
          <w:rFonts w:ascii="楷体" w:hAnsi="楷体" w:eastAsia="楷体"/>
          <w:lang w:eastAsia="zh-CN"/>
        </w:rPr>
      </w:pPr>
      <w:r>
        <w:rPr>
          <w:rFonts w:hint="eastAsia" w:ascii="楷体" w:hAnsi="楷体" w:eastAsia="楷体"/>
          <w:lang w:eastAsia="zh-CN"/>
        </w:rPr>
        <w:t>专业毕业要求对通用标准提出的12项基本要求的</w:t>
      </w:r>
      <w:r>
        <w:rPr>
          <w:rFonts w:ascii="楷体" w:hAnsi="楷体" w:eastAsia="楷体"/>
          <w:lang w:eastAsia="zh-CN"/>
        </w:rPr>
        <w:t>覆盖</w:t>
      </w:r>
      <w:r>
        <w:rPr>
          <w:rFonts w:hint="eastAsia" w:ascii="楷体" w:hAnsi="楷体" w:eastAsia="楷体"/>
          <w:lang w:eastAsia="zh-CN"/>
        </w:rPr>
        <w:t>情况。</w:t>
      </w:r>
    </w:p>
    <w:p>
      <w:pPr>
        <w:pStyle w:val="71"/>
        <w:numPr>
          <w:ilvl w:val="0"/>
          <w:numId w:val="16"/>
        </w:numPr>
        <w:spacing w:line="360" w:lineRule="auto"/>
        <w:rPr>
          <w:rFonts w:ascii="楷体" w:hAnsi="楷体" w:eastAsia="楷体"/>
          <w:lang w:eastAsia="zh-CN"/>
        </w:rPr>
      </w:pPr>
      <w:r>
        <w:rPr>
          <w:rFonts w:hint="eastAsia" w:ascii="楷体" w:hAnsi="楷体" w:eastAsia="楷体"/>
          <w:lang w:eastAsia="zh-CN"/>
        </w:rPr>
        <w:t>学生</w:t>
      </w:r>
      <w:r>
        <w:rPr>
          <w:rFonts w:ascii="楷体" w:hAnsi="楷体" w:eastAsia="楷体"/>
          <w:lang w:eastAsia="zh-CN"/>
        </w:rPr>
        <w:t>和教师了解</w:t>
      </w:r>
      <w:r>
        <w:rPr>
          <w:rFonts w:hint="eastAsia" w:ascii="楷体" w:hAnsi="楷体" w:eastAsia="楷体"/>
          <w:lang w:eastAsia="zh-CN"/>
        </w:rPr>
        <w:t>毕业要求渠道及认知情况。</w:t>
      </w:r>
    </w:p>
    <w:p>
      <w:pPr>
        <w:pStyle w:val="71"/>
        <w:spacing w:line="360" w:lineRule="auto"/>
        <w:ind w:left="1529"/>
        <w:rPr>
          <w:rFonts w:ascii="楷体" w:hAnsi="楷体" w:eastAsia="楷体"/>
          <w:lang w:eastAsia="zh-CN"/>
        </w:rPr>
      </w:pPr>
    </w:p>
    <w:p>
      <w:pPr>
        <w:pStyle w:val="71"/>
        <w:spacing w:line="360" w:lineRule="auto"/>
        <w:ind w:left="709"/>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17"/>
        </w:numPr>
        <w:spacing w:line="360" w:lineRule="auto"/>
        <w:rPr>
          <w:rFonts w:ascii="楷体" w:hAnsi="楷体" w:eastAsia="楷体"/>
          <w:lang w:eastAsia="zh-CN"/>
        </w:rPr>
      </w:pPr>
      <w:r>
        <w:rPr>
          <w:rFonts w:hint="eastAsia" w:ascii="楷体" w:hAnsi="楷体" w:eastAsia="楷体"/>
          <w:lang w:eastAsia="zh-CN"/>
        </w:rPr>
        <w:t>与毕业要求</w:t>
      </w:r>
      <w:r>
        <w:rPr>
          <w:rFonts w:ascii="楷体" w:hAnsi="楷体" w:eastAsia="楷体"/>
          <w:lang w:eastAsia="zh-CN"/>
        </w:rPr>
        <w:t>制订</w:t>
      </w:r>
      <w:r>
        <w:rPr>
          <w:rFonts w:hint="eastAsia" w:ascii="楷体" w:hAnsi="楷体" w:eastAsia="楷体"/>
          <w:lang w:eastAsia="zh-CN"/>
        </w:rPr>
        <w:t>有关</w:t>
      </w:r>
      <w:r>
        <w:rPr>
          <w:rFonts w:ascii="楷体" w:hAnsi="楷体" w:eastAsia="楷体"/>
          <w:lang w:eastAsia="zh-CN"/>
        </w:rPr>
        <w:t>的文件、规定</w:t>
      </w:r>
      <w:r>
        <w:rPr>
          <w:rFonts w:hint="eastAsia" w:ascii="楷体" w:hAnsi="楷体" w:eastAsia="楷体"/>
          <w:lang w:eastAsia="zh-CN"/>
        </w:rPr>
        <w:t>等</w:t>
      </w:r>
      <w:r>
        <w:rPr>
          <w:rFonts w:ascii="楷体" w:hAnsi="楷体" w:eastAsia="楷体"/>
          <w:lang w:eastAsia="zh-CN"/>
        </w:rPr>
        <w:t>，以及</w:t>
      </w:r>
      <w:r>
        <w:rPr>
          <w:rFonts w:hint="eastAsia" w:ascii="楷体" w:hAnsi="楷体" w:eastAsia="楷体"/>
          <w:lang w:eastAsia="zh-CN"/>
        </w:rPr>
        <w:t>分析</w:t>
      </w:r>
      <w:r>
        <w:rPr>
          <w:rFonts w:ascii="楷体" w:hAnsi="楷体" w:eastAsia="楷体"/>
          <w:lang w:eastAsia="zh-CN"/>
        </w:rPr>
        <w:t>和制订过程</w:t>
      </w:r>
      <w:r>
        <w:rPr>
          <w:rFonts w:hint="eastAsia" w:ascii="楷体" w:hAnsi="楷体" w:eastAsia="楷体"/>
          <w:lang w:eastAsia="zh-CN"/>
        </w:rPr>
        <w:t>的</w:t>
      </w:r>
      <w:r>
        <w:rPr>
          <w:rFonts w:ascii="楷体" w:hAnsi="楷体" w:eastAsia="楷体"/>
          <w:lang w:eastAsia="zh-CN"/>
        </w:rPr>
        <w:t>记录</w:t>
      </w:r>
      <w:r>
        <w:rPr>
          <w:rFonts w:hint="eastAsia" w:ascii="楷体" w:hAnsi="楷体" w:eastAsia="楷体"/>
          <w:lang w:eastAsia="zh-CN"/>
        </w:rPr>
        <w:t>（附件中提供相关原始记录或文件索引）</w:t>
      </w:r>
      <w:r>
        <w:rPr>
          <w:rFonts w:ascii="楷体" w:hAnsi="楷体" w:eastAsia="楷体"/>
          <w:lang w:eastAsia="zh-CN"/>
        </w:rPr>
        <w:t>。</w:t>
      </w:r>
    </w:p>
    <w:p>
      <w:pPr>
        <w:pStyle w:val="71"/>
        <w:numPr>
          <w:ilvl w:val="0"/>
          <w:numId w:val="17"/>
        </w:numPr>
        <w:spacing w:line="360" w:lineRule="auto"/>
        <w:rPr>
          <w:rFonts w:ascii="楷体" w:hAnsi="楷体" w:eastAsia="楷体"/>
          <w:lang w:eastAsia="zh-CN"/>
        </w:rPr>
      </w:pPr>
      <w:r>
        <w:rPr>
          <w:rFonts w:hint="eastAsia" w:ascii="楷体" w:hAnsi="楷体" w:eastAsia="楷体"/>
          <w:lang w:eastAsia="zh-CN"/>
        </w:rPr>
        <w:t>专业毕业要求公开渠道和方式的证据（网址、电子或纸质材料等）</w:t>
      </w:r>
    </w:p>
    <w:p>
      <w:pPr>
        <w:pStyle w:val="71"/>
        <w:spacing w:line="360" w:lineRule="auto"/>
        <w:ind w:left="1109"/>
        <w:rPr>
          <w:rFonts w:ascii="楷体" w:hAnsi="楷体" w:eastAsia="楷体"/>
          <w:lang w:eastAsia="zh-CN"/>
        </w:rPr>
      </w:pPr>
    </w:p>
    <w:p>
      <w:pPr>
        <w:spacing w:line="360" w:lineRule="auto"/>
        <w:ind w:left="1"/>
        <w:jc w:val="left"/>
        <w:rPr>
          <w:rFonts w:ascii="黑体" w:hAnsi="黑体" w:eastAsia="黑体"/>
          <w:sz w:val="28"/>
          <w:szCs w:val="28"/>
        </w:rPr>
      </w:pPr>
      <w:r>
        <w:rPr>
          <w:rFonts w:ascii="黑体" w:hAnsi="黑体" w:eastAsia="黑体"/>
          <w:sz w:val="28"/>
          <w:szCs w:val="28"/>
        </w:rPr>
        <w:t xml:space="preserve">4 </w:t>
      </w:r>
      <w:r>
        <w:rPr>
          <w:rFonts w:hint="eastAsia" w:ascii="黑体" w:hAnsi="黑体" w:eastAsia="黑体"/>
          <w:sz w:val="28"/>
          <w:szCs w:val="28"/>
        </w:rPr>
        <w:t>持续改进</w:t>
      </w:r>
    </w:p>
    <w:p>
      <w:pPr>
        <w:spacing w:before="156" w:beforeLines="50" w:line="360" w:lineRule="auto"/>
        <w:ind w:firstLine="361" w:firstLineChars="150"/>
        <w:jc w:val="left"/>
        <w:rPr>
          <w:rFonts w:ascii="黑体" w:eastAsia="黑体"/>
          <w:b/>
          <w:sz w:val="24"/>
          <w:szCs w:val="24"/>
        </w:rPr>
      </w:pPr>
      <w:r>
        <w:rPr>
          <w:rFonts w:hint="eastAsia" w:ascii="黑体" w:eastAsia="黑体"/>
          <w:b/>
          <w:sz w:val="24"/>
          <w:szCs w:val="24"/>
        </w:rPr>
        <w:t>4.1建立教学过程质量监控机制，各主要教学环节有明确的质量要求，定期开展课程体系设置和课程质量评价。建立毕业要求达成情况评价机制，定期开展毕业要求达成情况评价。</w:t>
      </w:r>
    </w:p>
    <w:p>
      <w:pPr>
        <w:spacing w:line="360" w:lineRule="auto"/>
        <w:ind w:firstLine="602" w:firstLineChars="250"/>
        <w:rPr>
          <w:rFonts w:ascii="楷体" w:hAnsi="楷体" w:eastAsia="楷体"/>
          <w:sz w:val="24"/>
          <w:szCs w:val="24"/>
        </w:rPr>
      </w:pPr>
      <w:r>
        <w:rPr>
          <w:rFonts w:hint="eastAsia" w:ascii="楷体" w:hAnsi="楷体" w:eastAsia="楷体"/>
          <w:b/>
          <w:sz w:val="24"/>
          <w:szCs w:val="24"/>
        </w:rPr>
        <w:t>（1）需要说明的情况</w:t>
      </w:r>
      <w:r>
        <w:rPr>
          <w:rFonts w:hint="eastAsia" w:ascii="楷体" w:hAnsi="楷体" w:eastAsia="楷体"/>
          <w:sz w:val="24"/>
          <w:szCs w:val="24"/>
        </w:rPr>
        <w:t>：</w:t>
      </w:r>
    </w:p>
    <w:p>
      <w:pPr>
        <w:pStyle w:val="71"/>
        <w:numPr>
          <w:ilvl w:val="0"/>
          <w:numId w:val="18"/>
        </w:numPr>
        <w:spacing w:line="360" w:lineRule="auto"/>
        <w:ind w:left="567" w:firstLine="284" w:firstLineChars="118"/>
        <w:rPr>
          <w:rFonts w:ascii="楷体" w:hAnsi="楷体" w:eastAsia="楷体"/>
          <w:lang w:eastAsia="zh-CN"/>
        </w:rPr>
      </w:pPr>
      <w:r>
        <w:rPr>
          <w:rFonts w:hint="eastAsia" w:ascii="楷体" w:hAnsi="楷体" w:eastAsia="楷体"/>
          <w:b/>
          <w:lang w:eastAsia="zh-CN"/>
        </w:rPr>
        <w:t>各主要教学环节的质量要求及监控措施。</w:t>
      </w:r>
      <w:r>
        <w:rPr>
          <w:rFonts w:hint="eastAsia" w:ascii="楷体" w:hAnsi="楷体" w:eastAsia="楷体"/>
          <w:lang w:eastAsia="zh-CN"/>
        </w:rPr>
        <w:t>简介面向</w:t>
      </w:r>
      <w:r>
        <w:rPr>
          <w:rFonts w:ascii="楷体" w:hAnsi="楷体" w:eastAsia="楷体"/>
          <w:lang w:eastAsia="zh-CN"/>
        </w:rPr>
        <w:t>产出</w:t>
      </w:r>
      <w:r>
        <w:rPr>
          <w:rFonts w:hint="eastAsia" w:ascii="楷体" w:hAnsi="楷体" w:eastAsia="楷体"/>
          <w:lang w:eastAsia="zh-CN"/>
        </w:rPr>
        <w:t>主要教学环节的质量要求，说明教学过程质量监控的主要观测点、监控措施和执行人（可列表，见参考表格1）。</w:t>
      </w:r>
    </w:p>
    <w:p>
      <w:pPr>
        <w:pStyle w:val="71"/>
        <w:spacing w:line="360" w:lineRule="auto"/>
        <w:ind w:left="1529"/>
        <w:rPr>
          <w:rFonts w:ascii="楷体" w:hAnsi="楷体" w:eastAsia="楷体"/>
          <w:lang w:eastAsia="zh-CN"/>
        </w:rPr>
      </w:pPr>
      <w:r>
        <w:rPr>
          <w:rFonts w:hint="eastAsia" w:ascii="楷体" w:hAnsi="楷体" w:eastAsia="楷体"/>
          <w:lang w:eastAsia="zh-CN"/>
        </w:rPr>
        <w:t>参考表格1：主要教学环节的质量要求</w:t>
      </w:r>
    </w:p>
    <w:tbl>
      <w:tblPr>
        <w:tblStyle w:val="27"/>
        <w:tblW w:w="46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2976"/>
        <w:gridCol w:w="1386"/>
        <w:gridCol w:w="1047"/>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708" w:type="pct"/>
            <w:shd w:val="clear" w:color="auto" w:fill="auto"/>
            <w:vAlign w:val="center"/>
          </w:tcPr>
          <w:p>
            <w:pPr>
              <w:pStyle w:val="72"/>
              <w:rPr>
                <w:b/>
              </w:rPr>
            </w:pPr>
            <w:r>
              <w:rPr>
                <w:rFonts w:hint="eastAsia"/>
                <w:b/>
              </w:rPr>
              <w:t>教学</w:t>
            </w:r>
            <w:r>
              <w:rPr>
                <w:b/>
              </w:rPr>
              <w:t>环节</w:t>
            </w:r>
          </w:p>
          <w:p>
            <w:pPr>
              <w:pStyle w:val="72"/>
              <w:rPr>
                <w:b/>
              </w:rPr>
            </w:pPr>
            <w:r>
              <w:rPr>
                <w:b/>
              </w:rPr>
              <w:t>名称</w:t>
            </w:r>
          </w:p>
        </w:tc>
        <w:tc>
          <w:tcPr>
            <w:tcW w:w="1842" w:type="pct"/>
            <w:shd w:val="clear" w:color="auto" w:fill="auto"/>
            <w:vAlign w:val="center"/>
          </w:tcPr>
          <w:p>
            <w:pPr>
              <w:pStyle w:val="72"/>
              <w:rPr>
                <w:b/>
              </w:rPr>
            </w:pPr>
            <w:r>
              <w:rPr>
                <w:rFonts w:hint="eastAsia"/>
                <w:b/>
              </w:rPr>
              <w:t>主要</w:t>
            </w:r>
            <w:r>
              <w:rPr>
                <w:b/>
              </w:rPr>
              <w:t>质量要求</w:t>
            </w:r>
          </w:p>
        </w:tc>
        <w:tc>
          <w:tcPr>
            <w:tcW w:w="858" w:type="pct"/>
            <w:vAlign w:val="center"/>
          </w:tcPr>
          <w:p>
            <w:pPr>
              <w:pStyle w:val="72"/>
              <w:rPr>
                <w:b/>
              </w:rPr>
            </w:pPr>
            <w:r>
              <w:rPr>
                <w:rFonts w:hint="eastAsia"/>
                <w:b/>
              </w:rPr>
              <w:t>质量控制</w:t>
            </w:r>
          </w:p>
          <w:p>
            <w:pPr>
              <w:pStyle w:val="72"/>
              <w:rPr>
                <w:b/>
              </w:rPr>
            </w:pPr>
            <w:r>
              <w:rPr>
                <w:rFonts w:hint="eastAsia"/>
                <w:b/>
              </w:rPr>
              <w:t>责任人</w:t>
            </w:r>
          </w:p>
        </w:tc>
        <w:tc>
          <w:tcPr>
            <w:tcW w:w="648" w:type="pct"/>
            <w:shd w:val="clear" w:color="auto" w:fill="auto"/>
            <w:vAlign w:val="center"/>
          </w:tcPr>
          <w:p>
            <w:pPr>
              <w:pStyle w:val="72"/>
              <w:rPr>
                <w:b/>
              </w:rPr>
            </w:pPr>
            <w:r>
              <w:rPr>
                <w:rFonts w:hint="eastAsia"/>
                <w:b/>
              </w:rPr>
              <w:t>质量监控措施</w:t>
            </w:r>
          </w:p>
        </w:tc>
        <w:tc>
          <w:tcPr>
            <w:tcW w:w="944" w:type="pct"/>
            <w:shd w:val="clear" w:color="auto" w:fill="auto"/>
            <w:vAlign w:val="center"/>
          </w:tcPr>
          <w:p>
            <w:pPr>
              <w:pStyle w:val="72"/>
              <w:rPr>
                <w:b/>
              </w:rPr>
            </w:pPr>
            <w:r>
              <w:rPr>
                <w:b/>
              </w:rPr>
              <w:t>形成</w:t>
            </w:r>
            <w:r>
              <w:rPr>
                <w:rFonts w:hint="eastAsia"/>
                <w:b/>
              </w:rPr>
              <w:t>的文件</w:t>
            </w:r>
          </w:p>
          <w:p>
            <w:pPr>
              <w:pStyle w:val="72"/>
              <w:rPr>
                <w:b/>
              </w:rPr>
            </w:pPr>
            <w:r>
              <w:rPr>
                <w:rFonts w:hint="eastAsia"/>
                <w:b/>
              </w:rPr>
              <w:t>和记录性档案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708" w:type="pct"/>
            <w:shd w:val="clear" w:color="auto" w:fill="auto"/>
            <w:vAlign w:val="center"/>
          </w:tcPr>
          <w:p>
            <w:pPr>
              <w:pStyle w:val="72"/>
              <w:rPr>
                <w:b/>
              </w:rPr>
            </w:pPr>
            <w:r>
              <w:rPr>
                <w:b/>
              </w:rPr>
              <w:t>……</w:t>
            </w:r>
          </w:p>
        </w:tc>
        <w:tc>
          <w:tcPr>
            <w:tcW w:w="1842" w:type="pct"/>
            <w:shd w:val="clear" w:color="auto" w:fill="auto"/>
            <w:vAlign w:val="center"/>
          </w:tcPr>
          <w:p>
            <w:pPr>
              <w:pStyle w:val="72"/>
              <w:rPr>
                <w:b/>
              </w:rPr>
            </w:pPr>
            <w:r>
              <w:rPr>
                <w:b/>
              </w:rPr>
              <w:t>……</w:t>
            </w:r>
          </w:p>
        </w:tc>
        <w:tc>
          <w:tcPr>
            <w:tcW w:w="858" w:type="pct"/>
            <w:vAlign w:val="center"/>
          </w:tcPr>
          <w:p>
            <w:pPr>
              <w:pStyle w:val="72"/>
              <w:rPr>
                <w:b/>
              </w:rPr>
            </w:pPr>
            <w:r>
              <w:rPr>
                <w:b/>
              </w:rPr>
              <w:t>……</w:t>
            </w:r>
          </w:p>
        </w:tc>
        <w:tc>
          <w:tcPr>
            <w:tcW w:w="648" w:type="pct"/>
            <w:shd w:val="clear" w:color="auto" w:fill="auto"/>
            <w:vAlign w:val="center"/>
          </w:tcPr>
          <w:p>
            <w:pPr>
              <w:pStyle w:val="72"/>
              <w:rPr>
                <w:b/>
              </w:rPr>
            </w:pPr>
            <w:r>
              <w:rPr>
                <w:b/>
              </w:rPr>
              <w:t>……</w:t>
            </w:r>
          </w:p>
        </w:tc>
        <w:tc>
          <w:tcPr>
            <w:tcW w:w="944" w:type="pct"/>
            <w:shd w:val="clear" w:color="auto" w:fill="auto"/>
            <w:vAlign w:val="center"/>
          </w:tcPr>
          <w:p>
            <w:pPr>
              <w:pStyle w:val="72"/>
              <w:rPr>
                <w:b/>
              </w:rPr>
            </w:pPr>
            <w:r>
              <w:rPr>
                <w:b/>
              </w:rPr>
              <w:t>……</w:t>
            </w:r>
          </w:p>
        </w:tc>
      </w:tr>
    </w:tbl>
    <w:p>
      <w:pPr>
        <w:pStyle w:val="71"/>
        <w:spacing w:line="360" w:lineRule="auto"/>
        <w:ind w:left="1529"/>
        <w:rPr>
          <w:rFonts w:ascii="楷体" w:hAnsi="楷体" w:eastAsia="楷体"/>
          <w:lang w:eastAsia="zh-CN"/>
        </w:rPr>
      </w:pPr>
    </w:p>
    <w:p>
      <w:pPr>
        <w:pStyle w:val="71"/>
        <w:numPr>
          <w:ilvl w:val="0"/>
          <w:numId w:val="19"/>
        </w:numPr>
        <w:spacing w:line="360" w:lineRule="auto"/>
        <w:ind w:left="851" w:hanging="284"/>
        <w:rPr>
          <w:rFonts w:ascii="楷体" w:hAnsi="楷体" w:eastAsia="楷体"/>
          <w:b/>
          <w:lang w:eastAsia="zh-CN"/>
        </w:rPr>
      </w:pPr>
      <w:r>
        <w:rPr>
          <w:rFonts w:hint="eastAsia" w:ascii="楷体" w:hAnsi="楷体" w:eastAsia="楷体"/>
          <w:b/>
          <w:lang w:eastAsia="zh-CN"/>
        </w:rPr>
        <w:t>课程体系合理性评价机制</w:t>
      </w:r>
    </w:p>
    <w:p>
      <w:pPr>
        <w:pStyle w:val="71"/>
        <w:spacing w:line="360" w:lineRule="auto"/>
        <w:ind w:left="993"/>
        <w:rPr>
          <w:rFonts w:ascii="楷体" w:hAnsi="楷体" w:eastAsia="楷体"/>
          <w:lang w:eastAsia="zh-CN"/>
        </w:rPr>
      </w:pPr>
      <w:r>
        <w:rPr>
          <w:rFonts w:hint="eastAsia" w:ascii="楷体" w:hAnsi="楷体" w:eastAsia="楷体"/>
          <w:lang w:eastAsia="zh-CN"/>
        </w:rPr>
        <w:t>需说明：</w:t>
      </w:r>
      <w:r>
        <w:rPr>
          <w:rFonts w:ascii="楷体" w:hAnsi="楷体" w:eastAsia="楷体"/>
          <w:lang w:eastAsia="zh-CN"/>
        </w:rPr>
        <w:t>1）评价工作</w:t>
      </w:r>
      <w:r>
        <w:rPr>
          <w:rFonts w:hint="eastAsia" w:ascii="楷体" w:hAnsi="楷体" w:eastAsia="楷体"/>
          <w:lang w:eastAsia="zh-CN"/>
        </w:rPr>
        <w:t>的责任机构；</w:t>
      </w:r>
      <w:r>
        <w:rPr>
          <w:rFonts w:ascii="楷体" w:hAnsi="楷体" w:eastAsia="楷体"/>
          <w:lang w:eastAsia="zh-CN"/>
        </w:rPr>
        <w:t>2）评价周期；3）评价</w:t>
      </w:r>
      <w:r>
        <w:rPr>
          <w:rFonts w:hint="eastAsia" w:ascii="楷体" w:hAnsi="楷体" w:eastAsia="楷体"/>
          <w:lang w:eastAsia="zh-CN"/>
        </w:rPr>
        <w:t>过程（包括评价依据收集的内容和来源，以及评价工作的组织）；</w:t>
      </w:r>
      <w:r>
        <w:rPr>
          <w:rFonts w:ascii="楷体" w:hAnsi="楷体" w:eastAsia="楷体"/>
          <w:lang w:eastAsia="zh-CN"/>
        </w:rPr>
        <w:t>4</w:t>
      </w:r>
      <w:r>
        <w:rPr>
          <w:rFonts w:hint="eastAsia" w:ascii="楷体" w:hAnsi="楷体" w:eastAsia="楷体"/>
          <w:lang w:eastAsia="zh-CN"/>
        </w:rPr>
        <w:t>）评价方法；</w:t>
      </w:r>
      <w:r>
        <w:rPr>
          <w:rFonts w:ascii="楷体" w:hAnsi="楷体" w:eastAsia="楷体"/>
          <w:lang w:eastAsia="zh-CN"/>
        </w:rPr>
        <w:t>5</w:t>
      </w:r>
      <w:r>
        <w:rPr>
          <w:rFonts w:hint="eastAsia" w:ascii="楷体" w:hAnsi="楷体" w:eastAsia="楷体"/>
          <w:lang w:eastAsia="zh-CN"/>
        </w:rPr>
        <w:t>）结果使用要求；</w:t>
      </w:r>
      <w:r>
        <w:rPr>
          <w:rFonts w:ascii="楷体" w:hAnsi="楷体" w:eastAsia="楷体"/>
          <w:lang w:eastAsia="zh-CN"/>
        </w:rPr>
        <w:t>6</w:t>
      </w:r>
      <w:r>
        <w:rPr>
          <w:rFonts w:hint="eastAsia" w:ascii="楷体" w:hAnsi="楷体" w:eastAsia="楷体"/>
          <w:lang w:eastAsia="zh-CN"/>
        </w:rPr>
        <w:t>）证明该机制存在的制度性文件。</w:t>
      </w:r>
    </w:p>
    <w:p>
      <w:pPr>
        <w:pStyle w:val="71"/>
        <w:numPr>
          <w:ilvl w:val="0"/>
          <w:numId w:val="19"/>
        </w:numPr>
        <w:spacing w:line="360" w:lineRule="auto"/>
        <w:ind w:left="993" w:hanging="426"/>
        <w:rPr>
          <w:rFonts w:ascii="楷体" w:hAnsi="楷体" w:eastAsia="楷体"/>
          <w:b/>
          <w:lang w:eastAsia="zh-CN"/>
        </w:rPr>
      </w:pPr>
      <w:r>
        <w:rPr>
          <w:rFonts w:hint="eastAsia" w:ascii="楷体" w:hAnsi="楷体" w:eastAsia="楷体"/>
          <w:b/>
          <w:lang w:eastAsia="zh-CN"/>
        </w:rPr>
        <w:t>课程体系合理性评价机制的运行情况</w:t>
      </w:r>
    </w:p>
    <w:p>
      <w:pPr>
        <w:pStyle w:val="71"/>
        <w:spacing w:line="360" w:lineRule="auto"/>
        <w:ind w:left="993"/>
        <w:rPr>
          <w:rFonts w:ascii="楷体" w:hAnsi="楷体" w:eastAsia="楷体"/>
          <w:lang w:eastAsia="zh-CN"/>
        </w:rPr>
      </w:pPr>
      <w:r>
        <w:rPr>
          <w:rFonts w:hint="eastAsia" w:ascii="楷体" w:hAnsi="楷体" w:eastAsia="楷体"/>
          <w:lang w:eastAsia="zh-CN"/>
        </w:rPr>
        <w:t>最近一次课程体系合理性评价的过程和结果（包括评价时间、评价依据、评价方法和评价结果）</w:t>
      </w:r>
    </w:p>
    <w:p>
      <w:pPr>
        <w:pStyle w:val="71"/>
        <w:numPr>
          <w:ilvl w:val="0"/>
          <w:numId w:val="19"/>
        </w:numPr>
        <w:spacing w:line="360" w:lineRule="auto"/>
        <w:ind w:left="851" w:hanging="284"/>
        <w:rPr>
          <w:rFonts w:ascii="楷体" w:hAnsi="楷体" w:eastAsia="楷体"/>
          <w:b/>
          <w:lang w:eastAsia="zh-CN"/>
        </w:rPr>
      </w:pPr>
      <w:r>
        <w:rPr>
          <w:rFonts w:hint="eastAsia" w:ascii="楷体" w:hAnsi="楷体" w:eastAsia="楷体"/>
          <w:b/>
          <w:lang w:eastAsia="zh-CN"/>
        </w:rPr>
        <w:t>课程目标达成情况评价机制。</w:t>
      </w:r>
    </w:p>
    <w:p>
      <w:pPr>
        <w:pStyle w:val="71"/>
        <w:spacing w:line="360" w:lineRule="auto"/>
        <w:ind w:left="851"/>
        <w:rPr>
          <w:rFonts w:ascii="楷体" w:hAnsi="楷体" w:eastAsia="楷体"/>
          <w:lang w:eastAsia="zh-CN"/>
        </w:rPr>
      </w:pPr>
      <w:r>
        <w:rPr>
          <w:rFonts w:hint="eastAsia" w:ascii="楷体" w:hAnsi="楷体" w:eastAsia="楷体"/>
          <w:lang w:eastAsia="zh-CN"/>
        </w:rPr>
        <w:t>需说明：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71"/>
        <w:numPr>
          <w:ilvl w:val="0"/>
          <w:numId w:val="20"/>
        </w:numPr>
        <w:spacing w:line="360" w:lineRule="auto"/>
        <w:ind w:left="851" w:hanging="284"/>
        <w:rPr>
          <w:rFonts w:ascii="楷体" w:hAnsi="楷体" w:eastAsia="楷体"/>
          <w:lang w:eastAsia="zh-CN"/>
        </w:rPr>
      </w:pPr>
      <w:r>
        <w:rPr>
          <w:rFonts w:hint="eastAsia" w:ascii="楷体" w:hAnsi="楷体" w:eastAsia="楷体"/>
          <w:b/>
          <w:lang w:eastAsia="zh-CN"/>
        </w:rPr>
        <w:t>课程目标达成情况评价机制的运行情况</w:t>
      </w:r>
      <w:r>
        <w:rPr>
          <w:rFonts w:hint="eastAsia" w:ascii="楷体" w:hAnsi="楷体" w:eastAsia="楷体"/>
          <w:lang w:eastAsia="zh-CN"/>
        </w:rPr>
        <w:t>。需说明：</w:t>
      </w:r>
      <w:r>
        <w:rPr>
          <w:rFonts w:ascii="楷体" w:hAnsi="楷体" w:eastAsia="楷体"/>
          <w:lang w:eastAsia="zh-CN"/>
        </w:rPr>
        <w:t>1）</w:t>
      </w:r>
      <w:r>
        <w:rPr>
          <w:rFonts w:hint="eastAsia" w:ascii="楷体" w:hAnsi="楷体" w:eastAsia="楷体"/>
          <w:lang w:eastAsia="zh-CN"/>
        </w:rPr>
        <w:t>列出最近一次开展课程目标达成情况评价的课程清单；2）提供2门课程（1门理论课，1门实践课）的课程目标达成情况评价报告（包括课程目标、课程目标与毕业要求观测点的对应关系、评分标准、评价方法，评价依据和评价结果），附件中提供两门课程评价依据合理性的审核记录。</w:t>
      </w:r>
    </w:p>
    <w:p>
      <w:pPr>
        <w:pStyle w:val="71"/>
        <w:numPr>
          <w:ilvl w:val="0"/>
          <w:numId w:val="20"/>
        </w:numPr>
        <w:spacing w:line="360" w:lineRule="auto"/>
        <w:ind w:left="848" w:leftChars="337" w:hanging="140" w:hangingChars="58"/>
        <w:rPr>
          <w:rFonts w:ascii="楷体" w:hAnsi="楷体" w:eastAsia="楷体"/>
          <w:lang w:eastAsia="zh-CN"/>
        </w:rPr>
      </w:pPr>
      <w:r>
        <w:rPr>
          <w:rFonts w:hint="eastAsia" w:ascii="楷体" w:hAnsi="楷体" w:eastAsia="楷体"/>
          <w:b/>
          <w:lang w:eastAsia="zh-CN"/>
        </w:rPr>
        <w:t>毕业要求达成情况的评价机制</w:t>
      </w:r>
      <w:r>
        <w:rPr>
          <w:rFonts w:hint="eastAsia" w:ascii="楷体" w:hAnsi="楷体" w:eastAsia="楷体"/>
          <w:lang w:eastAsia="zh-CN"/>
        </w:rPr>
        <w:t>。主要包括评价责任机构、评价对象、评价周期、评价过程（包括评价数据收集的内容、方法和来源；确认这些评价数据与毕业要求相关的措施）、评价方法、评价使用要求等。针对不同类型的毕业要求，可采用不同类型的评价方法，但需要说明评价方法选择的原则、评价依据的来源及其</w:t>
      </w:r>
      <w:r>
        <w:rPr>
          <w:rFonts w:ascii="楷体" w:hAnsi="楷体" w:eastAsia="楷体"/>
          <w:lang w:eastAsia="zh-CN"/>
        </w:rPr>
        <w:t>合理性</w:t>
      </w:r>
      <w:r>
        <w:rPr>
          <w:rFonts w:hint="eastAsia" w:ascii="楷体" w:hAnsi="楷体" w:eastAsia="楷体"/>
          <w:lang w:eastAsia="zh-CN"/>
        </w:rPr>
        <w:t>判定方法</w:t>
      </w:r>
      <w:r>
        <w:rPr>
          <w:rFonts w:ascii="楷体" w:hAnsi="楷体" w:eastAsia="楷体"/>
          <w:lang w:eastAsia="zh-CN"/>
        </w:rPr>
        <w:t>。</w:t>
      </w:r>
    </w:p>
    <w:p>
      <w:pPr>
        <w:pStyle w:val="71"/>
        <w:numPr>
          <w:ilvl w:val="0"/>
          <w:numId w:val="20"/>
        </w:numPr>
        <w:spacing w:line="360" w:lineRule="auto"/>
        <w:ind w:left="850" w:leftChars="405" w:firstLine="0"/>
        <w:rPr>
          <w:rFonts w:ascii="楷体" w:hAnsi="楷体" w:eastAsia="楷体"/>
          <w:lang w:eastAsia="zh-CN"/>
        </w:rPr>
      </w:pPr>
      <w:r>
        <w:rPr>
          <w:rFonts w:hint="eastAsia" w:ascii="楷体" w:hAnsi="楷体" w:eastAsia="楷体"/>
          <w:b/>
          <w:lang w:eastAsia="zh-CN"/>
        </w:rPr>
        <w:t>毕业要求达成情况评价机制的运行情况</w:t>
      </w:r>
      <w:r>
        <w:rPr>
          <w:rFonts w:ascii="楷体" w:hAnsi="楷体" w:eastAsia="楷体"/>
          <w:b/>
          <w:lang w:eastAsia="zh-CN"/>
        </w:rPr>
        <w:t>。</w:t>
      </w:r>
      <w:r>
        <w:rPr>
          <w:rFonts w:hint="eastAsia" w:ascii="楷体" w:hAnsi="楷体" w:eastAsia="楷体"/>
          <w:lang w:eastAsia="zh-CN"/>
        </w:rPr>
        <w:t xml:space="preserve">说明最近一次评价情况，内容包括： </w:t>
      </w:r>
      <w:r>
        <w:rPr>
          <w:rFonts w:hint="eastAsia" w:ascii="楷体" w:hAnsi="楷体" w:eastAsia="楷体"/>
          <w:b/>
          <w:lang w:eastAsia="zh-CN"/>
        </w:rPr>
        <w:t>1）</w:t>
      </w:r>
      <w:r>
        <w:rPr>
          <w:rFonts w:hint="eastAsia" w:ascii="楷体" w:hAnsi="楷体" w:eastAsia="楷体"/>
          <w:lang w:eastAsia="zh-CN"/>
        </w:rPr>
        <w:t>列出所有毕业要求达成情况评价依据表（见参考表格2）；2）说明本次评价采取的主要方法，并以1-2项毕业要求为例，说明毕业要求的评价过程（包括评价对象、评价方法的选择、评价依据及其合理性判定方法</w:t>
      </w:r>
      <w:r>
        <w:rPr>
          <w:rFonts w:ascii="楷体" w:hAnsi="楷体" w:eastAsia="楷体"/>
          <w:lang w:eastAsia="zh-CN"/>
        </w:rPr>
        <w:t>、</w:t>
      </w:r>
      <w:r>
        <w:rPr>
          <w:rFonts w:hint="eastAsia" w:ascii="楷体" w:hAnsi="楷体" w:eastAsia="楷体"/>
          <w:lang w:eastAsia="zh-CN"/>
        </w:rPr>
        <w:t>评价结果，以及对评价结果的分析等）。</w:t>
      </w:r>
    </w:p>
    <w:p>
      <w:pPr>
        <w:pStyle w:val="71"/>
        <w:numPr>
          <w:ilvl w:val="0"/>
          <w:numId w:val="20"/>
        </w:numPr>
        <w:spacing w:before="156" w:beforeLines="50" w:line="360" w:lineRule="auto"/>
        <w:ind w:left="1276" w:hanging="425"/>
        <w:rPr>
          <w:rFonts w:ascii="楷体" w:hAnsi="楷体" w:eastAsia="楷体"/>
          <w:lang w:eastAsia="zh-CN"/>
        </w:rPr>
      </w:pPr>
      <w:r>
        <w:rPr>
          <w:rFonts w:hint="eastAsia" w:ascii="楷体" w:hAnsi="楷体" w:eastAsia="楷体"/>
          <w:b/>
          <w:lang w:eastAsia="zh-CN"/>
        </w:rPr>
        <w:t>用图表或其他适当形式汇总</w:t>
      </w:r>
      <w:r>
        <w:rPr>
          <w:rFonts w:hint="eastAsia" w:ascii="楷体" w:hAnsi="楷体" w:eastAsia="楷体"/>
          <w:lang w:eastAsia="zh-CN"/>
        </w:rPr>
        <w:t>本专业最近一次毕业要求达成情况评价结果，对结果进行分析。</w:t>
      </w:r>
    </w:p>
    <w:p>
      <w:pPr>
        <w:spacing w:before="156" w:beforeLines="50" w:line="360" w:lineRule="auto"/>
        <w:ind w:left="851" w:leftChars="270" w:hanging="284" w:hangingChars="118"/>
        <w:jc w:val="center"/>
        <w:rPr>
          <w:rFonts w:ascii="楷体" w:hAnsi="楷体" w:eastAsia="楷体"/>
          <w:kern w:val="0"/>
          <w:sz w:val="24"/>
          <w:szCs w:val="24"/>
        </w:rPr>
      </w:pPr>
      <w:r>
        <w:rPr>
          <w:rFonts w:hint="eastAsia" w:ascii="楷体" w:hAnsi="楷体" w:eastAsia="楷体"/>
          <w:b/>
          <w:kern w:val="0"/>
          <w:sz w:val="24"/>
          <w:szCs w:val="24"/>
        </w:rPr>
        <w:t>参考表格</w:t>
      </w:r>
      <w:r>
        <w:rPr>
          <w:rFonts w:ascii="楷体" w:hAnsi="楷体" w:eastAsia="楷体"/>
          <w:b/>
          <w:kern w:val="0"/>
          <w:sz w:val="24"/>
          <w:szCs w:val="24"/>
        </w:rPr>
        <w:t>2</w:t>
      </w:r>
      <w:r>
        <w:rPr>
          <w:rFonts w:hint="eastAsia" w:ascii="楷体" w:hAnsi="楷体" w:eastAsia="楷体"/>
          <w:kern w:val="0"/>
          <w:sz w:val="24"/>
          <w:szCs w:val="24"/>
        </w:rPr>
        <w:t>：XXX届学生毕业要求达成情况评价依据表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443"/>
        <w:gridCol w:w="1670"/>
        <w:gridCol w:w="992"/>
        <w:gridCol w:w="113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pPr>
              <w:widowControl/>
              <w:adjustRightInd w:val="0"/>
              <w:snapToGrid w:val="0"/>
              <w:contextualSpacing/>
              <w:jc w:val="center"/>
              <w:rPr>
                <w:rFonts w:ascii="楷体" w:hAnsi="楷体" w:eastAsia="楷体"/>
                <w:kern w:val="0"/>
                <w:szCs w:val="21"/>
                <w:lang w:eastAsia="en-US"/>
              </w:rPr>
            </w:pPr>
            <w:r>
              <w:rPr>
                <w:rFonts w:hint="eastAsia" w:ascii="楷体" w:hAnsi="楷体" w:eastAsia="楷体"/>
                <w:kern w:val="0"/>
                <w:szCs w:val="21"/>
              </w:rPr>
              <w:t>专业</w:t>
            </w:r>
            <w:r>
              <w:rPr>
                <w:rFonts w:hint="eastAsia" w:ascii="楷体" w:hAnsi="楷体" w:eastAsia="楷体"/>
                <w:kern w:val="0"/>
                <w:szCs w:val="21"/>
                <w:lang w:eastAsia="en-US"/>
              </w:rPr>
              <w:t>毕业要求</w:t>
            </w:r>
          </w:p>
        </w:tc>
        <w:tc>
          <w:tcPr>
            <w:tcW w:w="1443" w:type="dxa"/>
          </w:tcPr>
          <w:p>
            <w:pPr>
              <w:widowControl/>
              <w:adjustRightInd w:val="0"/>
              <w:snapToGrid w:val="0"/>
              <w:contextualSpacing/>
              <w:jc w:val="center"/>
              <w:rPr>
                <w:rFonts w:ascii="楷体" w:hAnsi="楷体" w:eastAsia="楷体"/>
                <w:kern w:val="0"/>
                <w:szCs w:val="21"/>
                <w:lang w:eastAsia="en-US"/>
              </w:rPr>
            </w:pPr>
            <w:r>
              <w:rPr>
                <w:rFonts w:hint="eastAsia" w:ascii="楷体" w:hAnsi="楷体" w:eastAsia="楷体"/>
                <w:kern w:val="0"/>
                <w:szCs w:val="21"/>
                <w:lang w:eastAsia="en-US"/>
              </w:rPr>
              <w:t>观测点</w:t>
            </w:r>
          </w:p>
        </w:tc>
        <w:tc>
          <w:tcPr>
            <w:tcW w:w="1670" w:type="dxa"/>
          </w:tcPr>
          <w:p>
            <w:pPr>
              <w:widowControl/>
              <w:adjustRightInd w:val="0"/>
              <w:snapToGrid w:val="0"/>
              <w:contextualSpacing/>
              <w:jc w:val="center"/>
              <w:rPr>
                <w:rFonts w:ascii="楷体" w:hAnsi="楷体" w:eastAsia="楷体"/>
                <w:kern w:val="0"/>
                <w:szCs w:val="21"/>
              </w:rPr>
            </w:pPr>
            <w:r>
              <w:rPr>
                <w:rFonts w:hint="eastAsia" w:ascii="楷体" w:hAnsi="楷体" w:eastAsia="楷体"/>
                <w:kern w:val="0"/>
                <w:szCs w:val="21"/>
              </w:rPr>
              <w:t>用于评价的教学环节</w:t>
            </w:r>
          </w:p>
        </w:tc>
        <w:tc>
          <w:tcPr>
            <w:tcW w:w="992" w:type="dxa"/>
          </w:tcPr>
          <w:p>
            <w:pPr>
              <w:widowControl/>
              <w:adjustRightInd w:val="0"/>
              <w:snapToGrid w:val="0"/>
              <w:contextualSpacing/>
              <w:jc w:val="center"/>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jc w:val="center"/>
              <w:rPr>
                <w:rFonts w:ascii="楷体" w:hAnsi="楷体" w:eastAsia="楷体"/>
                <w:kern w:val="0"/>
                <w:szCs w:val="21"/>
                <w:lang w:eastAsia="en-US"/>
              </w:rPr>
            </w:pPr>
            <w:r>
              <w:rPr>
                <w:rFonts w:hint="eastAsia" w:ascii="楷体" w:hAnsi="楷体" w:eastAsia="楷体"/>
                <w:kern w:val="0"/>
                <w:szCs w:val="21"/>
              </w:rPr>
              <w:t>方法</w:t>
            </w:r>
          </w:p>
        </w:tc>
        <w:tc>
          <w:tcPr>
            <w:tcW w:w="1134" w:type="dxa"/>
          </w:tcPr>
          <w:p>
            <w:pPr>
              <w:widowControl/>
              <w:adjustRightInd w:val="0"/>
              <w:snapToGrid w:val="0"/>
              <w:contextualSpacing/>
              <w:jc w:val="center"/>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jc w:val="center"/>
              <w:rPr>
                <w:rFonts w:ascii="楷体" w:hAnsi="楷体" w:eastAsia="楷体"/>
                <w:kern w:val="0"/>
                <w:szCs w:val="21"/>
                <w:lang w:eastAsia="en-US"/>
              </w:rPr>
            </w:pPr>
            <w:r>
              <w:rPr>
                <w:rFonts w:hint="eastAsia" w:ascii="楷体" w:hAnsi="楷体" w:eastAsia="楷体"/>
                <w:kern w:val="0"/>
                <w:szCs w:val="21"/>
              </w:rPr>
              <w:t>依据</w:t>
            </w:r>
          </w:p>
        </w:tc>
        <w:tc>
          <w:tcPr>
            <w:tcW w:w="993" w:type="dxa"/>
          </w:tcPr>
          <w:p>
            <w:pPr>
              <w:widowControl/>
              <w:adjustRightInd w:val="0"/>
              <w:snapToGrid w:val="0"/>
              <w:contextualSpacing/>
              <w:jc w:val="center"/>
              <w:rPr>
                <w:rFonts w:ascii="楷体" w:hAnsi="楷体" w:eastAsia="楷体"/>
                <w:kern w:val="0"/>
                <w:szCs w:val="21"/>
              </w:rPr>
            </w:pPr>
            <w:r>
              <w:rPr>
                <w:rFonts w:hint="eastAsia" w:ascii="楷体" w:hAnsi="楷体" w:eastAsia="楷体"/>
                <w:kern w:val="0"/>
                <w:szCs w:val="21"/>
              </w:rPr>
              <w:t>评价责任人</w:t>
            </w:r>
          </w:p>
        </w:tc>
        <w:tc>
          <w:tcPr>
            <w:tcW w:w="1275" w:type="dxa"/>
          </w:tcPr>
          <w:p>
            <w:pPr>
              <w:widowControl/>
              <w:adjustRightInd w:val="0"/>
              <w:snapToGrid w:val="0"/>
              <w:contextualSpacing/>
              <w:jc w:val="center"/>
              <w:rPr>
                <w:rFonts w:ascii="楷体" w:hAnsi="楷体" w:eastAsia="楷体"/>
                <w:kern w:val="0"/>
                <w:szCs w:val="21"/>
              </w:rPr>
            </w:pPr>
            <w:r>
              <w:rPr>
                <w:rFonts w:hint="eastAsia" w:ascii="楷体" w:hAnsi="楷体" w:eastAsia="楷体"/>
                <w:kern w:val="0"/>
                <w:szCs w:val="21"/>
              </w:rPr>
              <w:t>形成的记录档案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tcPr>
          <w:p>
            <w:pPr>
              <w:widowControl/>
              <w:adjustRightInd w:val="0"/>
              <w:snapToGrid w:val="0"/>
              <w:ind w:left="814" w:leftChars="270" w:hanging="247" w:hangingChars="118"/>
              <w:contextualSpacing/>
              <w:jc w:val="left"/>
              <w:rPr>
                <w:rFonts w:ascii="楷体" w:hAnsi="楷体" w:eastAsia="楷体"/>
                <w:kern w:val="0"/>
                <w:szCs w:val="21"/>
              </w:rPr>
            </w:pPr>
          </w:p>
          <w:p>
            <w:pPr>
              <w:widowControl/>
              <w:adjustRightInd w:val="0"/>
              <w:snapToGrid w:val="0"/>
              <w:contextualSpacing/>
              <w:jc w:val="left"/>
              <w:rPr>
                <w:rFonts w:ascii="楷体" w:hAnsi="楷体" w:eastAsia="楷体"/>
                <w:kern w:val="0"/>
                <w:szCs w:val="21"/>
                <w:lang w:eastAsia="en-US"/>
              </w:rPr>
            </w:pPr>
            <w:r>
              <w:rPr>
                <w:rFonts w:hint="eastAsia" w:ascii="楷体" w:hAnsi="楷体" w:eastAsia="楷体"/>
                <w:kern w:val="0"/>
                <w:szCs w:val="21"/>
                <w:lang w:eastAsia="en-US"/>
              </w:rPr>
              <w:t>毕业要求1：描述</w:t>
            </w:r>
            <w:r>
              <w:rPr>
                <w:rFonts w:ascii="楷体" w:hAnsi="楷体" w:eastAsia="楷体"/>
                <w:kern w:val="0"/>
                <w:szCs w:val="21"/>
                <w:lang w:eastAsia="en-US"/>
              </w:rPr>
              <w:t>…</w:t>
            </w:r>
          </w:p>
        </w:tc>
        <w:tc>
          <w:tcPr>
            <w:tcW w:w="1443" w:type="dxa"/>
            <w:vMerge w:val="restart"/>
          </w:tcPr>
          <w:p>
            <w:pPr>
              <w:widowControl/>
              <w:adjustRightInd w:val="0"/>
              <w:snapToGrid w:val="0"/>
              <w:ind w:left="814" w:leftChars="270" w:hanging="247" w:hangingChars="118"/>
              <w:contextualSpacing/>
              <w:jc w:val="left"/>
              <w:rPr>
                <w:rFonts w:ascii="楷体" w:hAnsi="楷体" w:eastAsia="楷体"/>
                <w:kern w:val="0"/>
                <w:szCs w:val="21"/>
              </w:rPr>
            </w:pPr>
          </w:p>
          <w:p>
            <w:pPr>
              <w:widowControl/>
              <w:adjustRightInd w:val="0"/>
              <w:snapToGrid w:val="0"/>
              <w:ind w:left="393" w:leftChars="187"/>
              <w:contextualSpacing/>
              <w:jc w:val="left"/>
              <w:rPr>
                <w:rFonts w:ascii="楷体" w:hAnsi="楷体" w:eastAsia="楷体"/>
                <w:kern w:val="0"/>
                <w:szCs w:val="21"/>
                <w:lang w:eastAsia="en-US"/>
              </w:rPr>
            </w:pPr>
            <w:r>
              <w:rPr>
                <w:rFonts w:hint="eastAsia" w:ascii="楷体" w:hAnsi="楷体" w:eastAsia="楷体"/>
                <w:kern w:val="0"/>
                <w:szCs w:val="21"/>
                <w:lang w:eastAsia="en-US"/>
              </w:rPr>
              <w:t>1.1描述</w:t>
            </w:r>
            <w:r>
              <w:rPr>
                <w:rFonts w:ascii="楷体" w:hAnsi="楷体" w:eastAsia="楷体"/>
                <w:kern w:val="0"/>
                <w:szCs w:val="21"/>
                <w:lang w:eastAsia="en-US"/>
              </w:rPr>
              <w:t>…</w:t>
            </w:r>
            <w:r>
              <w:rPr>
                <w:rFonts w:hint="eastAsia" w:ascii="楷体" w:hAnsi="楷体" w:eastAsia="楷体"/>
                <w:kern w:val="0"/>
                <w:szCs w:val="21"/>
                <w:lang w:eastAsia="en-US"/>
              </w:rPr>
              <w:t>..</w:t>
            </w:r>
          </w:p>
        </w:tc>
        <w:tc>
          <w:tcPr>
            <w:tcW w:w="1670" w:type="dxa"/>
          </w:tcPr>
          <w:p>
            <w:pPr>
              <w:widowControl/>
              <w:adjustRightInd w:val="0"/>
              <w:snapToGrid w:val="0"/>
              <w:ind w:left="814" w:leftChars="270" w:hanging="247" w:hangingChars="118"/>
              <w:contextualSpacing/>
              <w:jc w:val="left"/>
              <w:rPr>
                <w:rFonts w:ascii="楷体" w:hAnsi="楷体" w:eastAsia="楷体"/>
                <w:kern w:val="0"/>
                <w:szCs w:val="21"/>
              </w:rPr>
            </w:pP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jc w:val="left"/>
              <w:rPr>
                <w:rFonts w:ascii="楷体" w:hAnsi="楷体" w:eastAsia="楷体"/>
                <w:kern w:val="0"/>
                <w:szCs w:val="21"/>
                <w:lang w:eastAsia="en-US"/>
              </w:rPr>
            </w:pPr>
            <w:r>
              <w:rPr>
                <w:rFonts w:hint="eastAsia" w:ascii="楷体" w:hAnsi="楷体" w:eastAsia="楷体"/>
                <w:kern w:val="0"/>
                <w:szCs w:val="21"/>
                <w:lang w:eastAsia="en-US"/>
              </w:rPr>
              <w:t>课程</w:t>
            </w: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jc w:val="left"/>
              <w:rPr>
                <w:rFonts w:ascii="楷体" w:hAnsi="楷体" w:eastAsia="楷体"/>
                <w:kern w:val="0"/>
                <w:szCs w:val="21"/>
                <w:lang w:eastAsia="en-US"/>
              </w:rPr>
            </w:pPr>
            <w:r>
              <w:rPr>
                <w:rFonts w:ascii="楷体" w:hAnsi="楷体" w:eastAsia="楷体"/>
                <w:kern w:val="0"/>
                <w:szCs w:val="21"/>
                <w:lang w:eastAsia="en-US"/>
              </w:rPr>
              <w:t>…</w:t>
            </w:r>
            <w:r>
              <w:rPr>
                <w:rFonts w:hint="eastAsia" w:ascii="楷体" w:hAnsi="楷体" w:eastAsia="楷体"/>
                <w:kern w:val="0"/>
                <w:szCs w:val="21"/>
                <w:lang w:eastAsia="en-US"/>
              </w:rPr>
              <w:t>.</w:t>
            </w: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443" w:type="dxa"/>
            <w:vMerge w:val="restart"/>
          </w:tcPr>
          <w:p>
            <w:pPr>
              <w:widowControl/>
              <w:adjustRightInd w:val="0"/>
              <w:snapToGrid w:val="0"/>
              <w:ind w:left="393" w:leftChars="187"/>
              <w:contextualSpacing/>
              <w:jc w:val="left"/>
              <w:rPr>
                <w:rFonts w:ascii="楷体" w:hAnsi="楷体" w:eastAsia="楷体"/>
                <w:kern w:val="0"/>
                <w:szCs w:val="21"/>
                <w:lang w:eastAsia="en-US"/>
              </w:rPr>
            </w:pPr>
            <w:r>
              <w:rPr>
                <w:rFonts w:hint="eastAsia" w:ascii="楷体" w:hAnsi="楷体" w:eastAsia="楷体"/>
                <w:kern w:val="0"/>
                <w:szCs w:val="21"/>
                <w:lang w:eastAsia="en-US"/>
              </w:rPr>
              <w:t>1.2描述</w:t>
            </w:r>
            <w:r>
              <w:rPr>
                <w:rFonts w:ascii="楷体" w:hAnsi="楷体" w:eastAsia="楷体"/>
                <w:kern w:val="0"/>
                <w:szCs w:val="21"/>
                <w:lang w:eastAsia="en-US"/>
              </w:rPr>
              <w:t>…</w:t>
            </w:r>
            <w:r>
              <w:rPr>
                <w:rFonts w:hint="eastAsia" w:ascii="楷体" w:hAnsi="楷体" w:eastAsia="楷体"/>
                <w:kern w:val="0"/>
                <w:szCs w:val="21"/>
                <w:lang w:eastAsia="en-US"/>
              </w:rPr>
              <w:t>..</w:t>
            </w:r>
          </w:p>
        </w:tc>
        <w:tc>
          <w:tcPr>
            <w:tcW w:w="1670" w:type="dxa"/>
          </w:tcPr>
          <w:p>
            <w:pPr>
              <w:widowControl/>
              <w:adjustRightInd w:val="0"/>
              <w:snapToGrid w:val="0"/>
              <w:ind w:left="814" w:leftChars="270" w:hanging="247" w:hangingChars="118"/>
              <w:contextualSpacing/>
              <w:jc w:val="left"/>
              <w:rPr>
                <w:rFonts w:ascii="楷体" w:hAnsi="楷体" w:eastAsia="楷体"/>
                <w:kern w:val="0"/>
                <w:szCs w:val="21"/>
                <w:lang w:eastAsia="en-US"/>
              </w:rPr>
            </w:pPr>
            <w:r>
              <w:rPr>
                <w:rFonts w:hint="eastAsia" w:ascii="楷体" w:hAnsi="楷体" w:eastAsia="楷体"/>
                <w:kern w:val="0"/>
                <w:szCs w:val="21"/>
                <w:lang w:eastAsia="en-US"/>
              </w:rPr>
              <w:t>课程</w:t>
            </w: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jc w:val="left"/>
              <w:rPr>
                <w:rFonts w:ascii="楷体" w:hAnsi="楷体" w:eastAsia="楷体"/>
                <w:kern w:val="0"/>
                <w:szCs w:val="21"/>
                <w:lang w:eastAsia="en-US"/>
              </w:rPr>
            </w:pPr>
            <w:r>
              <w:rPr>
                <w:rFonts w:hint="eastAsia" w:ascii="楷体" w:hAnsi="楷体" w:eastAsia="楷体"/>
                <w:kern w:val="0"/>
                <w:szCs w:val="21"/>
                <w:lang w:eastAsia="en-US"/>
              </w:rPr>
              <w:t>实验</w:t>
            </w: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jc w:val="left"/>
              <w:rPr>
                <w:rFonts w:ascii="楷体" w:hAnsi="楷体" w:eastAsia="楷体"/>
                <w:kern w:val="0"/>
                <w:szCs w:val="21"/>
                <w:lang w:eastAsia="en-US"/>
              </w:rPr>
            </w:pPr>
            <w:r>
              <w:rPr>
                <w:rFonts w:ascii="楷体" w:hAnsi="楷体" w:eastAsia="楷体"/>
                <w:kern w:val="0"/>
                <w:szCs w:val="21"/>
                <w:lang w:eastAsia="en-US"/>
              </w:rPr>
              <w:t>……</w:t>
            </w:r>
          </w:p>
        </w:tc>
        <w:tc>
          <w:tcPr>
            <w:tcW w:w="992"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jc w:val="left"/>
              <w:rPr>
                <w:rFonts w:ascii="楷体" w:hAnsi="楷体" w:eastAsia="楷体"/>
                <w:kern w:val="0"/>
                <w:szCs w:val="21"/>
                <w:lang w:eastAsia="en-US"/>
              </w:rPr>
            </w:pPr>
          </w:p>
        </w:tc>
      </w:tr>
    </w:tbl>
    <w:p>
      <w:pPr>
        <w:pStyle w:val="71"/>
        <w:spacing w:before="100" w:beforeAutospacing="1" w:line="360" w:lineRule="auto"/>
        <w:ind w:left="1" w:firstLine="424" w:firstLineChars="176"/>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21"/>
        </w:numPr>
        <w:spacing w:line="360" w:lineRule="auto"/>
        <w:rPr>
          <w:rFonts w:ascii="楷体" w:hAnsi="楷体" w:eastAsia="楷体"/>
          <w:lang w:eastAsia="zh-CN"/>
        </w:rPr>
      </w:pPr>
      <w:r>
        <w:rPr>
          <w:rFonts w:hint="eastAsia" w:ascii="楷体" w:hAnsi="楷体" w:eastAsia="楷体"/>
          <w:lang w:eastAsia="zh-CN"/>
        </w:rPr>
        <w:t>课程体系合理性评价、课程目标达成评价机制的制度文件</w:t>
      </w:r>
    </w:p>
    <w:p>
      <w:pPr>
        <w:pStyle w:val="71"/>
        <w:numPr>
          <w:ilvl w:val="0"/>
          <w:numId w:val="21"/>
        </w:numPr>
        <w:spacing w:line="360" w:lineRule="auto"/>
        <w:rPr>
          <w:rFonts w:ascii="楷体" w:hAnsi="楷体" w:eastAsia="楷体"/>
          <w:lang w:eastAsia="zh-CN"/>
        </w:rPr>
      </w:pPr>
      <w:r>
        <w:rPr>
          <w:rFonts w:hint="eastAsia" w:ascii="楷体" w:hAnsi="楷体" w:eastAsia="楷体"/>
          <w:lang w:eastAsia="zh-CN"/>
        </w:rPr>
        <w:t>教学过程质量监控过程的原始记录文档（附件中提供列表说明）</w:t>
      </w:r>
    </w:p>
    <w:p>
      <w:pPr>
        <w:pStyle w:val="71"/>
        <w:numPr>
          <w:ilvl w:val="0"/>
          <w:numId w:val="21"/>
        </w:numPr>
        <w:spacing w:line="360" w:lineRule="auto"/>
        <w:rPr>
          <w:rFonts w:ascii="楷体" w:hAnsi="楷体" w:eastAsia="楷体"/>
          <w:lang w:eastAsia="zh-CN"/>
        </w:rPr>
      </w:pPr>
      <w:r>
        <w:rPr>
          <w:rFonts w:hint="eastAsia" w:ascii="楷体" w:hAnsi="楷体" w:eastAsia="楷体"/>
          <w:lang w:eastAsia="zh-CN"/>
        </w:rPr>
        <w:t>近三年专业核心课程的课程目标达成评价报告，及其评价依据合理性审核记录（其他课程评价资料，在附件中提供索引）</w:t>
      </w:r>
    </w:p>
    <w:p>
      <w:pPr>
        <w:pStyle w:val="71"/>
        <w:numPr>
          <w:ilvl w:val="0"/>
          <w:numId w:val="21"/>
        </w:numPr>
        <w:spacing w:line="360" w:lineRule="auto"/>
        <w:rPr>
          <w:rFonts w:ascii="楷体" w:hAnsi="楷体" w:eastAsia="楷体"/>
          <w:lang w:eastAsia="zh-CN"/>
        </w:rPr>
      </w:pPr>
      <w:r>
        <w:rPr>
          <w:rFonts w:hint="eastAsia" w:ascii="楷体" w:hAnsi="楷体" w:eastAsia="楷体"/>
          <w:lang w:eastAsia="zh-CN"/>
        </w:rPr>
        <w:t>毕业要求达成评价机制的制度文件</w:t>
      </w:r>
    </w:p>
    <w:p>
      <w:pPr>
        <w:pStyle w:val="71"/>
        <w:numPr>
          <w:ilvl w:val="0"/>
          <w:numId w:val="21"/>
        </w:numPr>
        <w:spacing w:line="360" w:lineRule="auto"/>
        <w:rPr>
          <w:rFonts w:ascii="楷体" w:hAnsi="楷体" w:eastAsia="楷体"/>
          <w:lang w:eastAsia="zh-CN"/>
        </w:rPr>
      </w:pPr>
      <w:r>
        <w:rPr>
          <w:rFonts w:hint="eastAsia" w:ascii="楷体" w:hAnsi="楷体" w:eastAsia="楷体"/>
          <w:lang w:eastAsia="zh-CN"/>
        </w:rPr>
        <w:t>近三年毕业要求达成评价过程的原始</w:t>
      </w:r>
      <w:r>
        <w:rPr>
          <w:rFonts w:ascii="楷体" w:hAnsi="楷体" w:eastAsia="楷体"/>
          <w:lang w:eastAsia="zh-CN"/>
        </w:rPr>
        <w:t>记录</w:t>
      </w:r>
      <w:r>
        <w:rPr>
          <w:rFonts w:hint="eastAsia" w:ascii="楷体" w:hAnsi="楷体" w:eastAsia="楷体"/>
          <w:lang w:eastAsia="zh-CN"/>
        </w:rPr>
        <w:t>文档（附件中提供索引）</w:t>
      </w:r>
    </w:p>
    <w:p>
      <w:pPr>
        <w:spacing w:line="360" w:lineRule="auto"/>
        <w:rPr>
          <w:rFonts w:ascii="楷体" w:hAnsi="楷体" w:eastAsia="楷体"/>
        </w:rPr>
      </w:pPr>
    </w:p>
    <w:p>
      <w:pPr>
        <w:spacing w:before="468" w:beforeLines="150" w:line="360" w:lineRule="auto"/>
        <w:ind w:firstLine="482" w:firstLineChars="200"/>
        <w:contextualSpacing/>
        <w:jc w:val="left"/>
        <w:rPr>
          <w:rFonts w:ascii="黑体" w:hAnsi="黑体" w:eastAsia="黑体"/>
          <w:b/>
          <w:sz w:val="24"/>
          <w:szCs w:val="24"/>
        </w:rPr>
      </w:pPr>
      <w:r>
        <w:rPr>
          <w:rFonts w:hint="eastAsia" w:ascii="黑体" w:eastAsia="黑体"/>
          <w:b/>
          <w:sz w:val="24"/>
          <w:szCs w:val="24"/>
        </w:rPr>
        <w:t>4.2 建立毕业生跟踪反馈机制以及有高等教育系统以外有关各方参与的社会评价机制，对培养目标的达成情况进行定期分析。</w:t>
      </w:r>
    </w:p>
    <w:p>
      <w:pPr>
        <w:spacing w:line="360" w:lineRule="auto"/>
        <w:ind w:firstLine="651" w:firstLineChars="270"/>
        <w:rPr>
          <w:rFonts w:ascii="楷体" w:hAnsi="楷体" w:eastAsia="楷体"/>
          <w:sz w:val="24"/>
          <w:szCs w:val="24"/>
        </w:rPr>
      </w:pPr>
      <w:r>
        <w:rPr>
          <w:rFonts w:hint="eastAsia" w:ascii="楷体" w:hAnsi="楷体" w:eastAsia="楷体"/>
          <w:b/>
          <w:sz w:val="24"/>
          <w:szCs w:val="24"/>
        </w:rPr>
        <w:t>（1）需要说明的情况</w:t>
      </w:r>
      <w:r>
        <w:rPr>
          <w:rFonts w:hint="eastAsia" w:ascii="楷体" w:hAnsi="楷体" w:eastAsia="楷体"/>
          <w:sz w:val="24"/>
          <w:szCs w:val="24"/>
        </w:rPr>
        <w:t>：</w:t>
      </w:r>
    </w:p>
    <w:p>
      <w:pPr>
        <w:pStyle w:val="71"/>
        <w:numPr>
          <w:ilvl w:val="0"/>
          <w:numId w:val="22"/>
        </w:numPr>
        <w:spacing w:line="360" w:lineRule="auto"/>
        <w:ind w:left="851" w:hanging="142"/>
        <w:rPr>
          <w:rFonts w:ascii="楷体" w:hAnsi="楷体" w:eastAsia="楷体"/>
          <w:lang w:eastAsia="zh-CN"/>
        </w:rPr>
      </w:pPr>
      <w:r>
        <w:rPr>
          <w:rFonts w:hint="eastAsia" w:ascii="楷体" w:hAnsi="楷体" w:eastAsia="楷体"/>
          <w:lang w:eastAsia="zh-CN"/>
        </w:rPr>
        <w:t xml:space="preserve">毕业生跟踪反馈机制（责任机构、工作周期、跟踪对象与方法、收集的信息、结果的利用），以及最近一次跟踪反馈情况（包括对象、方法和结果）。 </w:t>
      </w:r>
    </w:p>
    <w:p>
      <w:pPr>
        <w:pStyle w:val="71"/>
        <w:numPr>
          <w:ilvl w:val="0"/>
          <w:numId w:val="22"/>
        </w:numPr>
        <w:spacing w:line="360" w:lineRule="auto"/>
        <w:ind w:left="851" w:hanging="142"/>
        <w:rPr>
          <w:rFonts w:ascii="楷体" w:hAnsi="楷体" w:eastAsia="楷体"/>
          <w:lang w:eastAsia="zh-CN"/>
        </w:rPr>
      </w:pPr>
      <w:r>
        <w:rPr>
          <w:rFonts w:hint="eastAsia" w:ascii="楷体" w:hAnsi="楷体" w:eastAsia="楷体"/>
          <w:lang w:eastAsia="zh-CN"/>
        </w:rPr>
        <w:t>高教系统以外的利益相关方参与的社会评价机制（责任机构、评价周期、评价方法、信息收集渠道、结果的利用），以及最近一次社会评价的开展情况（包括对象、方法、结果）。</w:t>
      </w:r>
    </w:p>
    <w:p>
      <w:pPr>
        <w:pStyle w:val="71"/>
        <w:numPr>
          <w:ilvl w:val="0"/>
          <w:numId w:val="22"/>
        </w:numPr>
        <w:spacing w:line="360" w:lineRule="auto"/>
        <w:ind w:left="851" w:hanging="142"/>
        <w:rPr>
          <w:rFonts w:ascii="楷体" w:hAnsi="楷体" w:eastAsia="楷体"/>
          <w:lang w:eastAsia="zh-CN"/>
        </w:rPr>
      </w:pPr>
      <w:r>
        <w:rPr>
          <w:rFonts w:hint="eastAsia" w:ascii="楷体" w:hAnsi="楷体" w:eastAsia="楷体"/>
          <w:lang w:eastAsia="zh-CN"/>
        </w:rPr>
        <w:t>近3年，基于上述两个机制运行获取的各类信息，对培养目标达成情况进行的分析和结果。</w:t>
      </w:r>
    </w:p>
    <w:p>
      <w:pPr>
        <w:spacing w:line="360" w:lineRule="auto"/>
        <w:ind w:left="567"/>
        <w:rPr>
          <w:rFonts w:ascii="楷体" w:hAnsi="楷体" w:eastAsia="楷体"/>
          <w:b/>
          <w:sz w:val="24"/>
          <w:szCs w:val="24"/>
        </w:rPr>
      </w:pPr>
      <w:r>
        <w:rPr>
          <w:rFonts w:hint="eastAsia" w:ascii="楷体" w:hAnsi="楷体" w:eastAsia="楷体"/>
          <w:b/>
          <w:sz w:val="24"/>
          <w:szCs w:val="24"/>
        </w:rPr>
        <w:t>（2）需要提供的支撑材料：</w:t>
      </w:r>
    </w:p>
    <w:p>
      <w:pPr>
        <w:pStyle w:val="71"/>
        <w:numPr>
          <w:ilvl w:val="0"/>
          <w:numId w:val="23"/>
        </w:numPr>
        <w:spacing w:line="360" w:lineRule="auto"/>
        <w:rPr>
          <w:rFonts w:ascii="楷体" w:hAnsi="楷体" w:eastAsia="楷体"/>
          <w:lang w:eastAsia="zh-CN"/>
        </w:rPr>
      </w:pPr>
      <w:r>
        <w:rPr>
          <w:rFonts w:hint="eastAsia" w:ascii="楷体" w:hAnsi="楷体" w:eastAsia="楷体"/>
          <w:lang w:eastAsia="zh-CN"/>
        </w:rPr>
        <w:t>毕业生跟踪反馈的制度文件</w:t>
      </w:r>
    </w:p>
    <w:p>
      <w:pPr>
        <w:pStyle w:val="71"/>
        <w:numPr>
          <w:ilvl w:val="0"/>
          <w:numId w:val="23"/>
        </w:numPr>
        <w:spacing w:line="360" w:lineRule="auto"/>
        <w:rPr>
          <w:rFonts w:ascii="楷体" w:hAnsi="楷体" w:eastAsia="楷体"/>
          <w:lang w:eastAsia="zh-CN"/>
        </w:rPr>
      </w:pPr>
      <w:r>
        <w:rPr>
          <w:rFonts w:hint="eastAsia" w:ascii="楷体" w:hAnsi="楷体" w:eastAsia="楷体"/>
          <w:lang w:eastAsia="zh-CN"/>
        </w:rPr>
        <w:t>毕业生跟踪反馈的原始记录（附件中提供原始记录索引）</w:t>
      </w:r>
    </w:p>
    <w:p>
      <w:pPr>
        <w:pStyle w:val="71"/>
        <w:numPr>
          <w:ilvl w:val="0"/>
          <w:numId w:val="23"/>
        </w:numPr>
        <w:spacing w:line="360" w:lineRule="auto"/>
        <w:rPr>
          <w:rFonts w:ascii="楷体" w:hAnsi="楷体" w:eastAsia="楷体"/>
          <w:lang w:eastAsia="zh-CN"/>
        </w:rPr>
      </w:pPr>
      <w:r>
        <w:rPr>
          <w:rFonts w:hint="eastAsia" w:ascii="楷体" w:hAnsi="楷体" w:eastAsia="楷体"/>
          <w:lang w:eastAsia="zh-CN"/>
        </w:rPr>
        <w:t>社会评价机制的制度文件</w:t>
      </w:r>
    </w:p>
    <w:p>
      <w:pPr>
        <w:pStyle w:val="71"/>
        <w:numPr>
          <w:ilvl w:val="0"/>
          <w:numId w:val="23"/>
        </w:numPr>
        <w:spacing w:line="360" w:lineRule="auto"/>
        <w:rPr>
          <w:rFonts w:ascii="楷体" w:hAnsi="楷体" w:eastAsia="楷体"/>
          <w:lang w:eastAsia="zh-CN"/>
        </w:rPr>
      </w:pPr>
      <w:r>
        <w:rPr>
          <w:rFonts w:hint="eastAsia" w:ascii="楷体" w:hAnsi="楷体" w:eastAsia="楷体"/>
          <w:lang w:eastAsia="zh-CN"/>
        </w:rPr>
        <w:t>各类社会评价信息的原始记录（附件中提供原始记录索引）</w:t>
      </w:r>
    </w:p>
    <w:p>
      <w:pPr>
        <w:pStyle w:val="71"/>
        <w:numPr>
          <w:ilvl w:val="0"/>
          <w:numId w:val="23"/>
        </w:numPr>
        <w:spacing w:line="360" w:lineRule="auto"/>
        <w:rPr>
          <w:rFonts w:ascii="楷体" w:hAnsi="楷体" w:eastAsia="楷体"/>
          <w:lang w:eastAsia="zh-CN"/>
        </w:rPr>
      </w:pPr>
      <w:r>
        <w:rPr>
          <w:rFonts w:hint="eastAsia" w:ascii="楷体" w:hAnsi="楷体" w:eastAsia="楷体"/>
          <w:lang w:eastAsia="zh-CN"/>
        </w:rPr>
        <w:t>定期分析培养目标达成情况的相关制度文件及分析评价结果</w:t>
      </w:r>
    </w:p>
    <w:p>
      <w:pPr>
        <w:pStyle w:val="71"/>
        <w:spacing w:line="360" w:lineRule="auto"/>
        <w:ind w:left="1109"/>
        <w:rPr>
          <w:rFonts w:ascii="楷体" w:hAnsi="楷体" w:eastAsia="楷体"/>
          <w:lang w:eastAsia="zh-CN"/>
        </w:rPr>
      </w:pPr>
    </w:p>
    <w:p>
      <w:pPr>
        <w:pStyle w:val="71"/>
        <w:numPr>
          <w:ilvl w:val="1"/>
          <w:numId w:val="24"/>
        </w:numPr>
        <w:spacing w:before="156" w:beforeLines="50" w:line="360" w:lineRule="auto"/>
        <w:rPr>
          <w:rFonts w:ascii="黑体" w:hAnsi="黑体" w:eastAsia="黑体"/>
          <w:b/>
          <w:lang w:eastAsia="zh-CN"/>
        </w:rPr>
      </w:pPr>
      <w:r>
        <w:rPr>
          <w:rFonts w:hint="eastAsia" w:ascii="黑体" w:eastAsia="黑体"/>
          <w:b/>
          <w:lang w:eastAsia="zh-CN"/>
        </w:rPr>
        <w:t>能证明评价的结果被用于专业的持续改进。</w:t>
      </w:r>
    </w:p>
    <w:p>
      <w:pPr>
        <w:pStyle w:val="71"/>
        <w:adjustRightInd w:val="0"/>
        <w:snapToGrid w:val="0"/>
        <w:spacing w:before="156" w:beforeLines="50" w:line="360" w:lineRule="auto"/>
        <w:ind w:left="567"/>
        <w:contextualSpacing w:val="0"/>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25"/>
        </w:numPr>
        <w:spacing w:line="360" w:lineRule="auto"/>
        <w:ind w:left="993" w:hanging="284"/>
        <w:rPr>
          <w:rFonts w:ascii="楷体" w:hAnsi="楷体" w:eastAsia="楷体"/>
          <w:lang w:eastAsia="zh-CN"/>
        </w:rPr>
      </w:pPr>
      <w:r>
        <w:rPr>
          <w:rFonts w:hint="eastAsia" w:ascii="楷体" w:hAnsi="楷体" w:eastAsia="楷体"/>
          <w:lang w:eastAsia="zh-CN"/>
        </w:rPr>
        <w:t>保证评价结果用于专业持续改进的制度（包括责任机构、评价结果的收集、分析、反馈渠道、持续改进的责任人，以及改进效果的跟踪措施）</w:t>
      </w:r>
    </w:p>
    <w:p>
      <w:pPr>
        <w:pStyle w:val="71"/>
        <w:numPr>
          <w:ilvl w:val="0"/>
          <w:numId w:val="25"/>
        </w:numPr>
        <w:spacing w:line="360" w:lineRule="auto"/>
        <w:ind w:left="993" w:hanging="284"/>
        <w:rPr>
          <w:rFonts w:ascii="楷体" w:hAnsi="楷体" w:eastAsia="楷体"/>
          <w:lang w:eastAsia="zh-CN"/>
        </w:rPr>
      </w:pPr>
      <w:r>
        <w:rPr>
          <w:rFonts w:hint="eastAsia" w:ascii="楷体" w:hAnsi="楷体" w:eastAsia="楷体"/>
          <w:lang w:eastAsia="zh-CN"/>
        </w:rPr>
        <w:t>分别描述最近一次基于培养目标、毕业要求、课程目标达成情况、课程体系合理性的评价结果而开展的持续改进工作（包括改进依据、改进措施和改进效果）。</w:t>
      </w:r>
    </w:p>
    <w:p>
      <w:pPr>
        <w:spacing w:line="360" w:lineRule="auto"/>
        <w:ind w:left="567"/>
        <w:rPr>
          <w:rFonts w:ascii="楷体" w:hAnsi="楷体" w:eastAsia="楷体"/>
          <w:b/>
          <w:sz w:val="24"/>
          <w:szCs w:val="24"/>
        </w:rPr>
      </w:pPr>
      <w:r>
        <w:rPr>
          <w:rFonts w:hint="eastAsia" w:ascii="楷体" w:hAnsi="楷体" w:eastAsia="楷体"/>
          <w:b/>
          <w:sz w:val="24"/>
          <w:szCs w:val="24"/>
        </w:rPr>
        <w:t>（2）需要提供的支撑材料：</w:t>
      </w:r>
    </w:p>
    <w:p>
      <w:pPr>
        <w:pStyle w:val="71"/>
        <w:numPr>
          <w:ilvl w:val="0"/>
          <w:numId w:val="26"/>
        </w:numPr>
        <w:spacing w:line="360" w:lineRule="auto"/>
        <w:ind w:left="993" w:hanging="284"/>
        <w:rPr>
          <w:rFonts w:ascii="楷体" w:hAnsi="楷体" w:eastAsia="楷体"/>
          <w:lang w:eastAsia="zh-CN"/>
        </w:rPr>
      </w:pPr>
      <w:r>
        <w:rPr>
          <w:rFonts w:hint="eastAsia" w:ascii="楷体" w:hAnsi="楷体" w:eastAsia="楷体"/>
          <w:lang w:eastAsia="zh-CN"/>
        </w:rPr>
        <w:t>评价结果用于专业持续改进的制度性文件</w:t>
      </w:r>
    </w:p>
    <w:p>
      <w:pPr>
        <w:pStyle w:val="71"/>
        <w:numPr>
          <w:ilvl w:val="0"/>
          <w:numId w:val="26"/>
        </w:numPr>
        <w:spacing w:line="360" w:lineRule="auto"/>
        <w:ind w:left="993" w:hanging="284"/>
        <w:rPr>
          <w:rFonts w:ascii="楷体" w:hAnsi="楷体" w:eastAsia="楷体"/>
          <w:lang w:eastAsia="zh-CN"/>
        </w:rPr>
      </w:pPr>
      <w:r>
        <w:rPr>
          <w:rFonts w:hint="eastAsia" w:ascii="楷体" w:hAnsi="楷体" w:eastAsia="楷体"/>
          <w:lang w:eastAsia="zh-CN"/>
        </w:rPr>
        <w:t>最近一次关于培养目标、毕业要求、课程体系和课程目标的评价结果分析报告，评价结果用于反馈改进的</w:t>
      </w:r>
      <w:r>
        <w:rPr>
          <w:rFonts w:ascii="楷体" w:hAnsi="楷体" w:eastAsia="楷体"/>
          <w:lang w:eastAsia="zh-CN"/>
        </w:rPr>
        <w:t>过程记录</w:t>
      </w:r>
      <w:r>
        <w:rPr>
          <w:rFonts w:hint="eastAsia" w:ascii="楷体" w:hAnsi="楷体" w:eastAsia="楷体"/>
          <w:lang w:eastAsia="zh-CN"/>
        </w:rPr>
        <w:t>，</w:t>
      </w:r>
      <w:r>
        <w:rPr>
          <w:rFonts w:ascii="楷体" w:hAnsi="楷体" w:eastAsia="楷体"/>
          <w:lang w:eastAsia="zh-CN"/>
        </w:rPr>
        <w:t>以及改进结果分析材料。</w:t>
      </w:r>
    </w:p>
    <w:p>
      <w:pPr>
        <w:spacing w:before="156" w:beforeLines="50"/>
        <w:ind w:left="1134" w:firstLine="708" w:firstLineChars="295"/>
        <w:jc w:val="left"/>
        <w:rPr>
          <w:rFonts w:ascii="楷体" w:hAnsi="楷体" w:eastAsia="楷体"/>
          <w:sz w:val="24"/>
          <w:szCs w:val="24"/>
        </w:rPr>
      </w:pPr>
    </w:p>
    <w:p>
      <w:pPr>
        <w:spacing w:before="156" w:beforeLines="50"/>
        <w:jc w:val="left"/>
        <w:rPr>
          <w:rFonts w:ascii="黑体" w:hAnsi="黑体" w:eastAsia="黑体"/>
          <w:sz w:val="28"/>
          <w:szCs w:val="28"/>
        </w:rPr>
      </w:pPr>
      <w:r>
        <w:rPr>
          <w:rFonts w:ascii="黑体" w:hAnsi="黑体" w:eastAsia="黑体"/>
          <w:sz w:val="28"/>
          <w:szCs w:val="28"/>
        </w:rPr>
        <w:t xml:space="preserve">5 </w:t>
      </w:r>
      <w:r>
        <w:rPr>
          <w:rFonts w:hint="eastAsia" w:ascii="黑体" w:hAnsi="黑体" w:eastAsia="黑体"/>
          <w:sz w:val="28"/>
          <w:szCs w:val="28"/>
        </w:rPr>
        <w:t>课程体系</w:t>
      </w:r>
    </w:p>
    <w:p>
      <w:pPr>
        <w:spacing w:line="360" w:lineRule="auto"/>
        <w:ind w:left="2" w:firstLine="542" w:firstLineChars="225"/>
        <w:jc w:val="left"/>
        <w:rPr>
          <w:rFonts w:ascii="黑体" w:eastAsia="黑体"/>
          <w:b/>
          <w:sz w:val="24"/>
          <w:szCs w:val="24"/>
        </w:rPr>
      </w:pPr>
      <w:r>
        <w:rPr>
          <w:rFonts w:hint="eastAsia" w:ascii="黑体" w:eastAsia="黑体"/>
          <w:b/>
          <w:sz w:val="24"/>
          <w:szCs w:val="24"/>
        </w:rPr>
        <w:t>课程设置能支持毕业要求的达成，课程体系设计有企业或行业专家参与。</w:t>
      </w:r>
    </w:p>
    <w:p>
      <w:pPr>
        <w:pStyle w:val="71"/>
        <w:spacing w:line="360" w:lineRule="auto"/>
        <w:ind w:left="425"/>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27"/>
        </w:numPr>
        <w:spacing w:line="360" w:lineRule="auto"/>
        <w:ind w:left="993" w:hanging="284"/>
        <w:rPr>
          <w:rFonts w:ascii="楷体" w:hAnsi="楷体" w:eastAsia="楷体"/>
          <w:lang w:eastAsia="zh-CN"/>
        </w:rPr>
      </w:pPr>
      <w:r>
        <w:rPr>
          <w:rFonts w:hint="eastAsia" w:ascii="楷体" w:hAnsi="楷体" w:eastAsia="楷体"/>
          <w:lang w:eastAsia="zh-CN"/>
        </w:rPr>
        <w:t>列出完整的专业课程设置一览表，并用图表或适当形式说明必修课程的先行后续关系。</w:t>
      </w:r>
    </w:p>
    <w:p>
      <w:pPr>
        <w:pStyle w:val="71"/>
        <w:numPr>
          <w:ilvl w:val="0"/>
          <w:numId w:val="27"/>
        </w:numPr>
        <w:spacing w:line="360" w:lineRule="auto"/>
        <w:ind w:left="993" w:hanging="284"/>
        <w:rPr>
          <w:rFonts w:ascii="楷体" w:hAnsi="楷体" w:eastAsia="楷体"/>
          <w:lang w:eastAsia="zh-CN"/>
        </w:rPr>
      </w:pPr>
      <w:r>
        <w:rPr>
          <w:rFonts w:hint="eastAsia" w:ascii="楷体" w:hAnsi="楷体" w:eastAsia="楷体"/>
          <w:lang w:eastAsia="zh-CN"/>
        </w:rPr>
        <w:t>学生毕业的总学分要求，各类课程的学时/学分规则。</w:t>
      </w:r>
    </w:p>
    <w:p>
      <w:pPr>
        <w:pStyle w:val="71"/>
        <w:numPr>
          <w:ilvl w:val="0"/>
          <w:numId w:val="27"/>
        </w:numPr>
        <w:spacing w:line="360" w:lineRule="auto"/>
        <w:ind w:left="993" w:hanging="284"/>
        <w:rPr>
          <w:rFonts w:ascii="楷体" w:hAnsi="楷体" w:eastAsia="楷体"/>
          <w:lang w:eastAsia="zh-CN"/>
        </w:rPr>
      </w:pPr>
      <w:r>
        <w:rPr>
          <w:rFonts w:hint="eastAsia" w:ascii="楷体" w:hAnsi="楷体" w:eastAsia="楷体"/>
          <w:lang w:eastAsia="zh-CN"/>
        </w:rPr>
        <w:t>用矩阵形式说明课程设置对毕业要求的支撑关系，分析支撑关系布局的合理性；用矩阵形式说明必修课程对毕业要求观测点的具体支撑任务。</w:t>
      </w:r>
    </w:p>
    <w:p>
      <w:pPr>
        <w:pStyle w:val="71"/>
        <w:numPr>
          <w:ilvl w:val="0"/>
          <w:numId w:val="27"/>
        </w:numPr>
        <w:spacing w:line="360" w:lineRule="auto"/>
        <w:ind w:left="993" w:hanging="284"/>
        <w:rPr>
          <w:rFonts w:ascii="楷体" w:hAnsi="楷体" w:eastAsia="楷体"/>
          <w:lang w:eastAsia="zh-CN"/>
        </w:rPr>
      </w:pPr>
      <w:r>
        <w:rPr>
          <w:rFonts w:hint="eastAsia" w:ascii="楷体" w:hAnsi="楷体" w:eastAsia="楷体"/>
          <w:lang w:eastAsia="zh-CN"/>
        </w:rPr>
        <w:t>专业核心课程（含理论、实践类）</w:t>
      </w:r>
      <w:r>
        <w:rPr>
          <w:rFonts w:ascii="楷体" w:hAnsi="楷体" w:eastAsia="楷体"/>
          <w:lang w:eastAsia="zh-CN"/>
        </w:rPr>
        <w:t>的支撑</w:t>
      </w:r>
      <w:r>
        <w:rPr>
          <w:rFonts w:hint="eastAsia" w:ascii="楷体" w:hAnsi="楷体" w:eastAsia="楷体"/>
          <w:lang w:eastAsia="zh-CN"/>
        </w:rPr>
        <w:t>作用和</w:t>
      </w:r>
      <w:r>
        <w:rPr>
          <w:rFonts w:ascii="楷体" w:hAnsi="楷体" w:eastAsia="楷体"/>
          <w:lang w:eastAsia="zh-CN"/>
        </w:rPr>
        <w:t>理由。</w:t>
      </w:r>
    </w:p>
    <w:p>
      <w:pPr>
        <w:pStyle w:val="71"/>
        <w:numPr>
          <w:ilvl w:val="0"/>
          <w:numId w:val="27"/>
        </w:numPr>
        <w:spacing w:line="360" w:lineRule="auto"/>
        <w:ind w:left="993" w:hanging="284"/>
        <w:rPr>
          <w:rFonts w:ascii="楷体" w:hAnsi="楷体" w:eastAsia="楷体"/>
          <w:lang w:eastAsia="zh-CN"/>
        </w:rPr>
      </w:pPr>
      <w:r>
        <w:rPr>
          <w:rFonts w:hint="eastAsia" w:ascii="楷体" w:hAnsi="楷体" w:eastAsia="楷体"/>
          <w:lang w:eastAsia="zh-CN"/>
        </w:rPr>
        <w:t>制定、审定、修订和落实课程教学大纲的制度和要求。列举理论类、实践类、毕业设计（论文）课程完整教学大纲的样例各1份。</w:t>
      </w:r>
    </w:p>
    <w:p>
      <w:pPr>
        <w:pStyle w:val="71"/>
        <w:numPr>
          <w:ilvl w:val="0"/>
          <w:numId w:val="27"/>
        </w:numPr>
        <w:spacing w:line="360" w:lineRule="auto"/>
        <w:ind w:left="993" w:hanging="284"/>
        <w:rPr>
          <w:rFonts w:ascii="楷体" w:hAnsi="楷体" w:eastAsia="楷体"/>
          <w:lang w:eastAsia="zh-CN"/>
        </w:rPr>
      </w:pPr>
      <w:r>
        <w:rPr>
          <w:rFonts w:hint="eastAsia" w:ascii="楷体" w:hAnsi="楷体" w:eastAsia="楷体"/>
          <w:lang w:eastAsia="zh-CN"/>
        </w:rPr>
        <w:t>行业企业专家参与课程体系设计的制度，最近一次课程体系修订中行业企业专家发挥的作用（包括名单、参与方式和作用）。</w:t>
      </w:r>
    </w:p>
    <w:p>
      <w:pPr>
        <w:pStyle w:val="71"/>
        <w:spacing w:line="360" w:lineRule="auto"/>
        <w:ind w:left="709"/>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28"/>
        </w:numPr>
        <w:spacing w:line="360" w:lineRule="auto"/>
        <w:rPr>
          <w:rFonts w:ascii="楷体" w:hAnsi="楷体" w:eastAsia="楷体"/>
          <w:lang w:eastAsia="zh-CN"/>
        </w:rPr>
      </w:pPr>
      <w:r>
        <w:rPr>
          <w:rFonts w:hint="eastAsia" w:ascii="楷体" w:hAnsi="楷体" w:eastAsia="楷体"/>
          <w:lang w:eastAsia="zh-CN"/>
        </w:rPr>
        <w:t>学校关于培养方案修订的制度</w:t>
      </w:r>
    </w:p>
    <w:p>
      <w:pPr>
        <w:pStyle w:val="71"/>
        <w:numPr>
          <w:ilvl w:val="0"/>
          <w:numId w:val="28"/>
        </w:numPr>
        <w:spacing w:line="360" w:lineRule="auto"/>
        <w:rPr>
          <w:rFonts w:ascii="楷体" w:hAnsi="楷体" w:eastAsia="楷体"/>
          <w:lang w:eastAsia="zh-CN"/>
        </w:rPr>
      </w:pPr>
      <w:r>
        <w:rPr>
          <w:rFonts w:hint="eastAsia" w:ascii="楷体" w:hAnsi="楷体" w:eastAsia="楷体"/>
          <w:lang w:eastAsia="zh-CN"/>
        </w:rPr>
        <w:t>认证期内（近三年）毕业生和在校生使用的专业培养方案</w:t>
      </w:r>
    </w:p>
    <w:p>
      <w:pPr>
        <w:pStyle w:val="71"/>
        <w:numPr>
          <w:ilvl w:val="0"/>
          <w:numId w:val="28"/>
        </w:numPr>
        <w:spacing w:line="360" w:lineRule="auto"/>
        <w:rPr>
          <w:rFonts w:ascii="楷体" w:hAnsi="楷体" w:eastAsia="楷体"/>
          <w:lang w:eastAsia="zh-CN"/>
        </w:rPr>
      </w:pPr>
      <w:r>
        <w:rPr>
          <w:rFonts w:hint="eastAsia" w:ascii="楷体" w:hAnsi="楷体" w:eastAsia="楷体"/>
          <w:lang w:eastAsia="zh-CN"/>
        </w:rPr>
        <w:t>专业核心课程和主要实践环节的教学大纲（其他用于毕业要求评价的课程大纲在附录中提供索引）</w:t>
      </w:r>
    </w:p>
    <w:p>
      <w:pPr>
        <w:pStyle w:val="71"/>
        <w:numPr>
          <w:ilvl w:val="0"/>
          <w:numId w:val="28"/>
        </w:numPr>
        <w:spacing w:line="360" w:lineRule="auto"/>
        <w:rPr>
          <w:rFonts w:ascii="楷体" w:hAnsi="楷体" w:eastAsia="楷体"/>
          <w:lang w:eastAsia="zh-CN"/>
        </w:rPr>
      </w:pPr>
      <w:r>
        <w:rPr>
          <w:rFonts w:hint="eastAsia" w:ascii="楷体" w:hAnsi="楷体" w:eastAsia="楷体"/>
          <w:lang w:eastAsia="zh-CN"/>
        </w:rPr>
        <w:t>近三届毕业生专业核心课程的任课教师和学习成绩统计表（包括优秀率、良好率、及格率数据）。用于毕业要求评价的所有课程考核资料在附录中提供索引。</w:t>
      </w:r>
    </w:p>
    <w:p>
      <w:pPr>
        <w:pStyle w:val="71"/>
        <w:numPr>
          <w:ilvl w:val="0"/>
          <w:numId w:val="28"/>
        </w:numPr>
        <w:spacing w:line="360" w:lineRule="auto"/>
        <w:rPr>
          <w:rFonts w:ascii="楷体" w:hAnsi="楷体" w:eastAsia="楷体"/>
          <w:lang w:eastAsia="zh-CN"/>
        </w:rPr>
      </w:pPr>
      <w:r>
        <w:rPr>
          <w:rFonts w:hint="eastAsia" w:ascii="楷体" w:hAnsi="楷体" w:eastAsia="楷体"/>
          <w:lang w:eastAsia="zh-CN"/>
        </w:rPr>
        <w:t>近三年行业企业专家参与课程体系设计的记录性材料（包括名单、参与方式、发挥作用）。</w:t>
      </w:r>
    </w:p>
    <w:p>
      <w:pPr>
        <w:spacing w:line="360" w:lineRule="auto"/>
        <w:rPr>
          <w:rFonts w:ascii="楷体" w:hAnsi="楷体" w:eastAsia="楷体"/>
        </w:rPr>
      </w:pPr>
    </w:p>
    <w:p>
      <w:pPr>
        <w:spacing w:before="156" w:beforeLines="50" w:line="360" w:lineRule="auto"/>
        <w:ind w:firstLine="708" w:firstLineChars="294"/>
        <w:jc w:val="left"/>
        <w:rPr>
          <w:rFonts w:ascii="黑体" w:hAnsi="黑体" w:eastAsia="黑体"/>
          <w:b/>
          <w:sz w:val="24"/>
          <w:szCs w:val="24"/>
        </w:rPr>
      </w:pPr>
      <w:r>
        <w:rPr>
          <w:rFonts w:hint="eastAsia" w:ascii="黑体" w:hAnsi="黑体" w:eastAsia="黑体"/>
          <w:b/>
          <w:sz w:val="24"/>
          <w:szCs w:val="24"/>
        </w:rPr>
        <w:t>课程体系必须包括：</w:t>
      </w:r>
    </w:p>
    <w:p>
      <w:pPr>
        <w:spacing w:before="156" w:beforeLines="50" w:line="360" w:lineRule="auto"/>
        <w:ind w:firstLine="566" w:firstLineChars="235"/>
        <w:jc w:val="left"/>
        <w:rPr>
          <w:rFonts w:ascii="黑体" w:hAnsi="黑体" w:eastAsia="黑体"/>
          <w:b/>
          <w:sz w:val="24"/>
          <w:szCs w:val="24"/>
        </w:rPr>
      </w:pPr>
      <w:r>
        <w:rPr>
          <w:rFonts w:hint="eastAsia" w:ascii="黑体" w:eastAsia="黑体"/>
          <w:b/>
          <w:sz w:val="24"/>
          <w:szCs w:val="24"/>
        </w:rPr>
        <w:t>5.1与本专业毕业要求相适应的数学与自然科学类课程（至少占总学分的</w:t>
      </w:r>
      <w:r>
        <w:rPr>
          <w:rFonts w:ascii="黑体" w:eastAsia="黑体"/>
          <w:b/>
          <w:sz w:val="24"/>
          <w:szCs w:val="24"/>
        </w:rPr>
        <w:t>15%）。</w:t>
      </w:r>
    </w:p>
    <w:p>
      <w:pPr>
        <w:pStyle w:val="71"/>
        <w:spacing w:line="360" w:lineRule="auto"/>
        <w:ind w:left="-46" w:leftChars="-22" w:firstLine="602" w:firstLineChars="250"/>
        <w:rPr>
          <w:rFonts w:ascii="楷体" w:hAnsi="楷体" w:eastAsia="楷体"/>
          <w:b/>
          <w:lang w:eastAsia="zh-CN"/>
        </w:rPr>
      </w:pPr>
      <w:r>
        <w:rPr>
          <w:rFonts w:hint="eastAsia" w:ascii="楷体" w:hAnsi="楷体" w:eastAsia="楷体"/>
          <w:b/>
          <w:lang w:eastAsia="zh-CN"/>
        </w:rPr>
        <w:t>（1）需要说明的情况：</w:t>
      </w:r>
    </w:p>
    <w:p>
      <w:pPr>
        <w:pStyle w:val="71"/>
        <w:numPr>
          <w:ilvl w:val="0"/>
          <w:numId w:val="29"/>
        </w:numPr>
        <w:spacing w:line="360" w:lineRule="auto"/>
        <w:ind w:left="851" w:firstLine="0"/>
        <w:rPr>
          <w:rFonts w:ascii="楷体" w:hAnsi="楷体" w:eastAsia="楷体"/>
          <w:lang w:eastAsia="zh-CN"/>
        </w:rPr>
      </w:pPr>
      <w:r>
        <w:rPr>
          <w:rFonts w:hint="eastAsia" w:ascii="楷体" w:hAnsi="楷体" w:eastAsia="楷体"/>
          <w:lang w:eastAsia="zh-CN"/>
        </w:rPr>
        <w:t>列举本类课程及其学分</w:t>
      </w:r>
      <w:r>
        <w:rPr>
          <w:rFonts w:ascii="楷体" w:hAnsi="楷体" w:eastAsia="楷体"/>
          <w:lang w:eastAsia="zh-CN"/>
        </w:rPr>
        <w:t>/学时</w:t>
      </w:r>
      <w:r>
        <w:rPr>
          <w:rFonts w:hint="eastAsia" w:ascii="楷体" w:hAnsi="楷体" w:eastAsia="楷体"/>
          <w:lang w:eastAsia="zh-CN"/>
        </w:rPr>
        <w:t>要求，说明学分比例达标情况，以及与专业补充标准要求的符合情况。</w:t>
      </w:r>
    </w:p>
    <w:p>
      <w:pPr>
        <w:pStyle w:val="71"/>
        <w:numPr>
          <w:ilvl w:val="0"/>
          <w:numId w:val="29"/>
        </w:numPr>
        <w:spacing w:line="360" w:lineRule="auto"/>
        <w:ind w:left="709" w:firstLine="141" w:firstLineChars="59"/>
        <w:rPr>
          <w:rFonts w:ascii="楷体" w:hAnsi="楷体" w:eastAsia="楷体"/>
          <w:lang w:eastAsia="zh-CN"/>
        </w:rPr>
      </w:pPr>
      <w:r>
        <w:rPr>
          <w:rFonts w:hint="eastAsia" w:ascii="楷体" w:hAnsi="楷体" w:eastAsia="楷体"/>
          <w:lang w:eastAsia="zh-CN"/>
        </w:rPr>
        <w:t>保证学生修满此类课程的要求及措施。</w:t>
      </w:r>
    </w:p>
    <w:p>
      <w:pPr>
        <w:pStyle w:val="71"/>
        <w:spacing w:line="360" w:lineRule="auto"/>
        <w:ind w:left="-84" w:leftChars="-40" w:firstLine="602" w:firstLineChars="250"/>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30"/>
        </w:numPr>
        <w:spacing w:line="360" w:lineRule="auto"/>
        <w:ind w:left="1276" w:hanging="425"/>
        <w:rPr>
          <w:rFonts w:ascii="楷体" w:hAnsi="楷体" w:eastAsia="楷体"/>
          <w:lang w:eastAsia="zh-CN"/>
        </w:rPr>
      </w:pPr>
      <w:r>
        <w:rPr>
          <w:rFonts w:hint="eastAsia" w:ascii="楷体" w:hAnsi="楷体" w:eastAsia="楷体"/>
          <w:lang w:eastAsia="zh-CN"/>
        </w:rPr>
        <w:t>课程教学大纲、教案、考核资料（在附件中提供资料索引备查）</w:t>
      </w:r>
    </w:p>
    <w:p>
      <w:pPr>
        <w:pStyle w:val="71"/>
        <w:spacing w:line="360" w:lineRule="auto"/>
        <w:ind w:left="1109"/>
        <w:rPr>
          <w:rFonts w:ascii="楷体" w:hAnsi="楷体" w:eastAsia="楷体"/>
          <w:lang w:eastAsia="zh-CN"/>
        </w:rPr>
      </w:pPr>
    </w:p>
    <w:p>
      <w:pPr>
        <w:spacing w:before="156" w:beforeLines="50" w:line="360" w:lineRule="auto"/>
        <w:ind w:firstLine="482" w:firstLineChars="200"/>
        <w:jc w:val="left"/>
        <w:rPr>
          <w:rFonts w:ascii="黑体" w:hAnsi="黑体" w:eastAsia="黑体"/>
          <w:b/>
          <w:sz w:val="24"/>
          <w:szCs w:val="24"/>
        </w:rPr>
      </w:pPr>
      <w:r>
        <w:rPr>
          <w:rFonts w:hint="eastAsia" w:ascii="黑体" w:eastAsia="黑体"/>
          <w:b/>
          <w:sz w:val="24"/>
          <w:szCs w:val="24"/>
        </w:rPr>
        <w:t>5.2 符合本专业毕业要求的工程基础类课程、专业基础类课程与专业类课程（至少占总学分的</w:t>
      </w:r>
      <w:r>
        <w:rPr>
          <w:rFonts w:ascii="黑体" w:eastAsia="黑体"/>
          <w:b/>
          <w:sz w:val="24"/>
          <w:szCs w:val="24"/>
        </w:rPr>
        <w:t>30%）。工程基础类课程和专业基础类课程能体现数学和自然科学在本专业应用能力培养，专业类课程能体现系统设计和实现能力的培养。</w:t>
      </w:r>
    </w:p>
    <w:p>
      <w:pPr>
        <w:pStyle w:val="71"/>
        <w:spacing w:before="156" w:beforeLines="50" w:line="360" w:lineRule="auto"/>
        <w:ind w:left="-84" w:leftChars="-40" w:firstLine="602" w:firstLineChars="250"/>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31"/>
        </w:numPr>
        <w:spacing w:line="360" w:lineRule="auto"/>
        <w:ind w:left="1134"/>
        <w:rPr>
          <w:rFonts w:ascii="楷体" w:hAnsi="楷体" w:eastAsia="楷体"/>
          <w:lang w:eastAsia="zh-CN"/>
        </w:rPr>
      </w:pPr>
      <w:r>
        <w:rPr>
          <w:rFonts w:hint="eastAsia" w:ascii="楷体" w:hAnsi="楷体" w:eastAsia="楷体"/>
          <w:lang w:eastAsia="zh-CN"/>
        </w:rPr>
        <w:t>分别列举“工程基础类”、“专业基础类”和“专业类”三类课程及其学分</w:t>
      </w:r>
      <w:r>
        <w:rPr>
          <w:rFonts w:ascii="楷体" w:hAnsi="楷体" w:eastAsia="楷体"/>
          <w:lang w:eastAsia="zh-CN"/>
        </w:rPr>
        <w:t>/学时</w:t>
      </w:r>
      <w:r>
        <w:rPr>
          <w:rFonts w:hint="eastAsia" w:ascii="楷体" w:hAnsi="楷体" w:eastAsia="楷体"/>
          <w:lang w:eastAsia="zh-CN"/>
        </w:rPr>
        <w:t>要求，说明三类课程总学分比例的达标情况，以及与专业补充标准要求的符合情况。</w:t>
      </w:r>
    </w:p>
    <w:p>
      <w:pPr>
        <w:pStyle w:val="71"/>
        <w:numPr>
          <w:ilvl w:val="0"/>
          <w:numId w:val="29"/>
        </w:numPr>
        <w:spacing w:line="360" w:lineRule="auto"/>
        <w:ind w:left="1134"/>
        <w:rPr>
          <w:rFonts w:ascii="楷体" w:hAnsi="楷体" w:eastAsia="楷体"/>
          <w:lang w:eastAsia="zh-CN"/>
        </w:rPr>
      </w:pPr>
      <w:r>
        <w:rPr>
          <w:rFonts w:hint="eastAsia" w:ascii="楷体" w:hAnsi="楷体" w:eastAsia="楷体"/>
          <w:lang w:eastAsia="zh-CN"/>
        </w:rPr>
        <w:t>举例说明工程基础类、专业基础类能</w:t>
      </w:r>
      <w:r>
        <w:rPr>
          <w:rFonts w:ascii="楷体" w:hAnsi="楷体" w:eastAsia="楷体"/>
          <w:lang w:eastAsia="zh-CN"/>
        </w:rPr>
        <w:t>体现数学和自然科学在本专业应用能力培养</w:t>
      </w:r>
      <w:r>
        <w:rPr>
          <w:rFonts w:hint="eastAsia" w:ascii="楷体" w:hAnsi="楷体" w:eastAsia="楷体"/>
          <w:lang w:eastAsia="zh-CN"/>
        </w:rPr>
        <w:t>，专业类课程能体现系统设计和实现能力的培养。</w:t>
      </w:r>
    </w:p>
    <w:p>
      <w:pPr>
        <w:pStyle w:val="71"/>
        <w:spacing w:line="360" w:lineRule="auto"/>
        <w:ind w:left="709"/>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32"/>
        </w:numPr>
        <w:spacing w:line="360" w:lineRule="auto"/>
        <w:ind w:left="1134" w:hanging="425"/>
        <w:rPr>
          <w:rFonts w:ascii="楷体" w:hAnsi="楷体" w:eastAsia="楷体"/>
          <w:lang w:eastAsia="zh-CN"/>
        </w:rPr>
      </w:pPr>
      <w:r>
        <w:rPr>
          <w:rFonts w:hint="eastAsia" w:ascii="楷体" w:hAnsi="楷体" w:eastAsia="楷体"/>
          <w:lang w:eastAsia="zh-CN"/>
        </w:rPr>
        <w:t>课程教学大纲、教案、考核资料和课程质量评价报告（在附件中提供资料索引备查）</w:t>
      </w:r>
    </w:p>
    <w:p>
      <w:pPr>
        <w:spacing w:line="360" w:lineRule="auto"/>
        <w:rPr>
          <w:rFonts w:ascii="楷体" w:hAnsi="楷体" w:eastAsia="楷体"/>
        </w:rPr>
      </w:pPr>
    </w:p>
    <w:p>
      <w:pPr>
        <w:spacing w:before="156" w:beforeLines="50" w:line="360" w:lineRule="auto"/>
        <w:ind w:firstLine="482" w:firstLineChars="200"/>
        <w:jc w:val="left"/>
        <w:rPr>
          <w:rFonts w:ascii="黑体" w:hAnsi="黑体" w:eastAsia="黑体"/>
          <w:b/>
          <w:sz w:val="24"/>
          <w:szCs w:val="24"/>
        </w:rPr>
      </w:pPr>
      <w:r>
        <w:rPr>
          <w:rFonts w:hint="eastAsia" w:ascii="黑体" w:eastAsia="黑体"/>
          <w:b/>
          <w:sz w:val="24"/>
          <w:szCs w:val="24"/>
        </w:rPr>
        <w:t>5.3工程实践与毕业设计（论文）（至少占总学分的</w:t>
      </w:r>
      <w:r>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pPr>
        <w:pStyle w:val="71"/>
        <w:spacing w:before="156" w:beforeLines="50" w:line="360" w:lineRule="auto"/>
        <w:ind w:left="567"/>
        <w:rPr>
          <w:rFonts w:ascii="楷体" w:hAnsi="楷体" w:eastAsia="楷体"/>
          <w:b/>
          <w:lang w:eastAsia="zh-CN"/>
        </w:rPr>
      </w:pPr>
      <w:r>
        <w:rPr>
          <w:rFonts w:hint="eastAsia" w:ascii="楷体" w:hAnsi="楷体" w:eastAsia="楷体"/>
          <w:b/>
          <w:lang w:eastAsia="zh-CN"/>
        </w:rPr>
        <w:t>（1）需要说明的情况：</w:t>
      </w:r>
    </w:p>
    <w:p>
      <w:pPr>
        <w:pStyle w:val="71"/>
        <w:numPr>
          <w:ilvl w:val="0"/>
          <w:numId w:val="33"/>
        </w:numPr>
        <w:spacing w:line="360" w:lineRule="auto"/>
        <w:ind w:left="1276" w:hanging="425"/>
        <w:rPr>
          <w:rFonts w:ascii="楷体" w:hAnsi="楷体" w:eastAsia="楷体"/>
          <w:lang w:eastAsia="zh-CN"/>
        </w:rPr>
      </w:pPr>
      <w:r>
        <w:rPr>
          <w:rFonts w:hint="eastAsia" w:ascii="楷体" w:hAnsi="楷体" w:eastAsia="楷体"/>
          <w:lang w:eastAsia="zh-CN"/>
        </w:rPr>
        <w:t>列表说明专业的实践教学体系的构成及各教学环节的学分</w:t>
      </w:r>
      <w:r>
        <w:rPr>
          <w:rFonts w:ascii="楷体" w:hAnsi="楷体" w:eastAsia="楷体"/>
          <w:lang w:eastAsia="zh-CN"/>
        </w:rPr>
        <w:t>/学时</w:t>
      </w:r>
      <w:r>
        <w:rPr>
          <w:rFonts w:hint="eastAsia" w:ascii="楷体" w:hAnsi="楷体" w:eastAsia="楷体"/>
          <w:lang w:eastAsia="zh-CN"/>
        </w:rPr>
        <w:t>要求（参考格式如下），说明工程实践与毕业设计（论文）的总学分比例的达标情况，以及与专业补充标准要求的符合情况。</w:t>
      </w:r>
    </w:p>
    <w:p>
      <w:pPr>
        <w:spacing w:before="156" w:beforeLines="50" w:line="360" w:lineRule="auto"/>
        <w:ind w:firstLine="533" w:firstLineChars="295"/>
        <w:jc w:val="left"/>
        <w:rPr>
          <w:rFonts w:ascii="宋体" w:hAnsi="宋体"/>
          <w:b/>
          <w:sz w:val="18"/>
          <w:szCs w:val="18"/>
        </w:rPr>
      </w:pPr>
      <w:r>
        <w:rPr>
          <w:rFonts w:hint="eastAsia" w:ascii="宋体" w:hAnsi="宋体"/>
          <w:b/>
          <w:sz w:val="18"/>
          <w:szCs w:val="18"/>
        </w:rPr>
        <w:t>专业实践教学体系一览表</w:t>
      </w:r>
    </w:p>
    <w:tbl>
      <w:tblPr>
        <w:tblStyle w:val="27"/>
        <w:tblW w:w="7215" w:type="dxa"/>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1985"/>
        <w:gridCol w:w="184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9" w:type="dxa"/>
          </w:tcPr>
          <w:p>
            <w:pPr>
              <w:spacing w:before="156" w:beforeLines="50" w:line="360" w:lineRule="auto"/>
              <w:jc w:val="center"/>
              <w:rPr>
                <w:rFonts w:ascii="宋体" w:hAnsi="宋体"/>
                <w:sz w:val="18"/>
                <w:szCs w:val="18"/>
              </w:rPr>
            </w:pPr>
            <w:r>
              <w:rPr>
                <w:rFonts w:hint="eastAsia" w:ascii="宋体" w:hAnsi="宋体"/>
                <w:sz w:val="18"/>
                <w:szCs w:val="18"/>
              </w:rPr>
              <w:t>环节名称</w:t>
            </w:r>
          </w:p>
        </w:tc>
        <w:tc>
          <w:tcPr>
            <w:tcW w:w="1985" w:type="dxa"/>
          </w:tcPr>
          <w:p>
            <w:pPr>
              <w:spacing w:before="156" w:beforeLines="50" w:line="360" w:lineRule="auto"/>
              <w:jc w:val="center"/>
              <w:rPr>
                <w:rFonts w:ascii="宋体" w:hAnsi="宋体"/>
                <w:sz w:val="18"/>
                <w:szCs w:val="18"/>
              </w:rPr>
            </w:pPr>
            <w:r>
              <w:rPr>
                <w:rFonts w:hint="eastAsia" w:ascii="宋体" w:hAnsi="宋体"/>
                <w:sz w:val="18"/>
                <w:szCs w:val="18"/>
              </w:rPr>
              <w:t>内容要求与教学方式</w:t>
            </w:r>
          </w:p>
        </w:tc>
        <w:tc>
          <w:tcPr>
            <w:tcW w:w="1843" w:type="dxa"/>
          </w:tcPr>
          <w:p>
            <w:pPr>
              <w:spacing w:before="156" w:beforeLines="50" w:line="360" w:lineRule="auto"/>
              <w:jc w:val="center"/>
              <w:rPr>
                <w:rFonts w:ascii="宋体" w:hAnsi="宋体"/>
                <w:sz w:val="18"/>
                <w:szCs w:val="18"/>
              </w:rPr>
            </w:pPr>
            <w:r>
              <w:rPr>
                <w:rFonts w:hint="eastAsia" w:ascii="宋体" w:hAnsi="宋体"/>
                <w:sz w:val="18"/>
                <w:szCs w:val="18"/>
              </w:rPr>
              <w:t>学分</w:t>
            </w:r>
            <w:r>
              <w:rPr>
                <w:rFonts w:ascii="宋体" w:hAnsi="宋体"/>
                <w:sz w:val="18"/>
                <w:szCs w:val="18"/>
              </w:rPr>
              <w:t>/</w:t>
            </w:r>
            <w:r>
              <w:rPr>
                <w:rFonts w:hint="eastAsia" w:ascii="宋体" w:hAnsi="宋体"/>
                <w:sz w:val="18"/>
                <w:szCs w:val="18"/>
              </w:rPr>
              <w:t>（学时或周数）</w:t>
            </w:r>
          </w:p>
        </w:tc>
        <w:tc>
          <w:tcPr>
            <w:tcW w:w="2268" w:type="dxa"/>
          </w:tcPr>
          <w:p>
            <w:pPr>
              <w:spacing w:before="156" w:beforeLines="50" w:line="360" w:lineRule="auto"/>
              <w:jc w:val="center"/>
              <w:rPr>
                <w:rFonts w:ascii="宋体" w:hAnsi="宋体"/>
                <w:sz w:val="18"/>
                <w:szCs w:val="18"/>
              </w:rPr>
            </w:pPr>
            <w:r>
              <w:rPr>
                <w:rFonts w:hint="eastAsia" w:ascii="宋体" w:hAnsi="宋体"/>
                <w:sz w:val="18"/>
                <w:szCs w:val="18"/>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9" w:type="dxa"/>
          </w:tcPr>
          <w:p>
            <w:pPr>
              <w:spacing w:line="360" w:lineRule="auto"/>
              <w:ind w:firstLine="708" w:firstLineChars="295"/>
              <w:jc w:val="left"/>
              <w:rPr>
                <w:rFonts w:ascii="楷体" w:hAnsi="楷体" w:eastAsia="楷体"/>
                <w:sz w:val="24"/>
                <w:szCs w:val="24"/>
              </w:rPr>
            </w:pPr>
          </w:p>
        </w:tc>
        <w:tc>
          <w:tcPr>
            <w:tcW w:w="1985" w:type="dxa"/>
          </w:tcPr>
          <w:p>
            <w:pPr>
              <w:spacing w:line="360" w:lineRule="auto"/>
              <w:ind w:firstLine="708" w:firstLineChars="295"/>
              <w:jc w:val="left"/>
              <w:rPr>
                <w:rFonts w:ascii="楷体" w:hAnsi="楷体" w:eastAsia="楷体"/>
                <w:sz w:val="24"/>
                <w:szCs w:val="24"/>
              </w:rPr>
            </w:pPr>
          </w:p>
        </w:tc>
        <w:tc>
          <w:tcPr>
            <w:tcW w:w="1843" w:type="dxa"/>
          </w:tcPr>
          <w:p>
            <w:pPr>
              <w:spacing w:line="360" w:lineRule="auto"/>
              <w:ind w:firstLine="708" w:firstLineChars="295"/>
              <w:jc w:val="left"/>
              <w:rPr>
                <w:rFonts w:ascii="楷体" w:hAnsi="楷体" w:eastAsia="楷体"/>
                <w:sz w:val="24"/>
                <w:szCs w:val="24"/>
              </w:rPr>
            </w:pPr>
          </w:p>
        </w:tc>
        <w:tc>
          <w:tcPr>
            <w:tcW w:w="2268" w:type="dxa"/>
          </w:tcPr>
          <w:p>
            <w:pPr>
              <w:spacing w:line="360" w:lineRule="auto"/>
              <w:ind w:firstLine="708" w:firstLineChars="295"/>
              <w:jc w:val="left"/>
              <w:rPr>
                <w:rFonts w:ascii="楷体" w:hAnsi="楷体" w:eastAsia="楷体"/>
                <w:sz w:val="24"/>
                <w:szCs w:val="24"/>
              </w:rPr>
            </w:pPr>
          </w:p>
        </w:tc>
      </w:tr>
    </w:tbl>
    <w:p>
      <w:pPr>
        <w:spacing w:before="156" w:beforeLines="50" w:line="360" w:lineRule="auto"/>
        <w:ind w:firstLine="533" w:firstLineChars="295"/>
        <w:jc w:val="left"/>
        <w:rPr>
          <w:rFonts w:ascii="宋体" w:hAnsi="宋体"/>
          <w:b/>
          <w:sz w:val="18"/>
          <w:szCs w:val="18"/>
        </w:rPr>
      </w:pPr>
      <w:r>
        <w:rPr>
          <w:rFonts w:hint="eastAsia" w:ascii="宋体" w:hAnsi="宋体"/>
          <w:b/>
          <w:sz w:val="18"/>
          <w:szCs w:val="18"/>
        </w:rPr>
        <w:t>每个学生毕业前必须完成的设计类实践环节</w:t>
      </w:r>
    </w:p>
    <w:tbl>
      <w:tblPr>
        <w:tblStyle w:val="27"/>
        <w:tblW w:w="7215" w:type="dxa"/>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1843"/>
        <w:gridCol w:w="2268"/>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9" w:type="dxa"/>
          </w:tcPr>
          <w:p>
            <w:pPr>
              <w:spacing w:before="156" w:beforeLines="50" w:line="360" w:lineRule="auto"/>
              <w:jc w:val="center"/>
              <w:rPr>
                <w:rFonts w:ascii="宋体" w:hAnsi="宋体"/>
                <w:sz w:val="18"/>
                <w:szCs w:val="18"/>
              </w:rPr>
            </w:pPr>
            <w:r>
              <w:rPr>
                <w:rFonts w:hint="eastAsia" w:ascii="宋体" w:hAnsi="宋体"/>
                <w:sz w:val="18"/>
                <w:szCs w:val="18"/>
              </w:rPr>
              <w:t>设计名称</w:t>
            </w:r>
          </w:p>
        </w:tc>
        <w:tc>
          <w:tcPr>
            <w:tcW w:w="1843" w:type="dxa"/>
          </w:tcPr>
          <w:p>
            <w:pPr>
              <w:spacing w:before="156" w:beforeLines="50" w:line="360" w:lineRule="auto"/>
              <w:jc w:val="center"/>
              <w:rPr>
                <w:rFonts w:ascii="宋体" w:hAnsi="宋体"/>
                <w:sz w:val="18"/>
                <w:szCs w:val="18"/>
              </w:rPr>
            </w:pPr>
            <w:r>
              <w:rPr>
                <w:rFonts w:hint="eastAsia" w:ascii="宋体" w:hAnsi="宋体"/>
                <w:sz w:val="18"/>
                <w:szCs w:val="18"/>
              </w:rPr>
              <w:t>内容与工作量要求</w:t>
            </w:r>
          </w:p>
        </w:tc>
        <w:tc>
          <w:tcPr>
            <w:tcW w:w="2268" w:type="dxa"/>
          </w:tcPr>
          <w:p>
            <w:pPr>
              <w:spacing w:before="156" w:beforeLines="50" w:line="360" w:lineRule="auto"/>
              <w:jc w:val="center"/>
              <w:rPr>
                <w:rFonts w:ascii="宋体" w:hAnsi="宋体"/>
                <w:sz w:val="18"/>
                <w:szCs w:val="18"/>
              </w:rPr>
            </w:pPr>
            <w:r>
              <w:rPr>
                <w:rFonts w:hint="eastAsia" w:ascii="宋体" w:hAnsi="宋体"/>
                <w:sz w:val="18"/>
                <w:szCs w:val="18"/>
              </w:rPr>
              <w:t>学分</w:t>
            </w:r>
            <w:r>
              <w:rPr>
                <w:rFonts w:ascii="宋体" w:hAnsi="宋体"/>
                <w:sz w:val="18"/>
                <w:szCs w:val="18"/>
              </w:rPr>
              <w:t>/</w:t>
            </w:r>
            <w:r>
              <w:rPr>
                <w:rFonts w:hint="eastAsia" w:ascii="宋体" w:hAnsi="宋体"/>
                <w:sz w:val="18"/>
                <w:szCs w:val="18"/>
              </w:rPr>
              <w:t>（学时或周数）</w:t>
            </w:r>
          </w:p>
        </w:tc>
        <w:tc>
          <w:tcPr>
            <w:tcW w:w="1985" w:type="dxa"/>
          </w:tcPr>
          <w:p>
            <w:pPr>
              <w:spacing w:before="156" w:beforeLines="50" w:line="360" w:lineRule="auto"/>
              <w:jc w:val="center"/>
              <w:rPr>
                <w:rFonts w:ascii="宋体" w:hAnsi="宋体"/>
                <w:sz w:val="18"/>
                <w:szCs w:val="18"/>
              </w:rPr>
            </w:pPr>
            <w:r>
              <w:rPr>
                <w:rFonts w:hint="eastAsia" w:ascii="宋体" w:hAnsi="宋体"/>
                <w:sz w:val="18"/>
                <w:szCs w:val="18"/>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9" w:type="dxa"/>
          </w:tcPr>
          <w:p>
            <w:pPr>
              <w:spacing w:line="360" w:lineRule="auto"/>
              <w:ind w:firstLine="708" w:firstLineChars="295"/>
              <w:jc w:val="left"/>
              <w:rPr>
                <w:rFonts w:ascii="楷体" w:hAnsi="楷体" w:eastAsia="楷体"/>
                <w:sz w:val="24"/>
                <w:szCs w:val="24"/>
              </w:rPr>
            </w:pPr>
          </w:p>
        </w:tc>
        <w:tc>
          <w:tcPr>
            <w:tcW w:w="1843" w:type="dxa"/>
          </w:tcPr>
          <w:p>
            <w:pPr>
              <w:spacing w:line="360" w:lineRule="auto"/>
              <w:ind w:firstLine="708" w:firstLineChars="295"/>
              <w:jc w:val="left"/>
              <w:rPr>
                <w:rFonts w:ascii="楷体" w:hAnsi="楷体" w:eastAsia="楷体"/>
                <w:sz w:val="24"/>
                <w:szCs w:val="24"/>
              </w:rPr>
            </w:pPr>
          </w:p>
        </w:tc>
        <w:tc>
          <w:tcPr>
            <w:tcW w:w="2268" w:type="dxa"/>
          </w:tcPr>
          <w:p>
            <w:pPr>
              <w:spacing w:line="360" w:lineRule="auto"/>
              <w:ind w:firstLine="708" w:firstLineChars="295"/>
              <w:jc w:val="left"/>
              <w:rPr>
                <w:rFonts w:ascii="楷体" w:hAnsi="楷体" w:eastAsia="楷体"/>
                <w:sz w:val="24"/>
                <w:szCs w:val="24"/>
              </w:rPr>
            </w:pPr>
          </w:p>
        </w:tc>
        <w:tc>
          <w:tcPr>
            <w:tcW w:w="1985" w:type="dxa"/>
          </w:tcPr>
          <w:p>
            <w:pPr>
              <w:spacing w:line="360" w:lineRule="auto"/>
              <w:ind w:firstLine="708" w:firstLineChars="295"/>
              <w:jc w:val="left"/>
              <w:rPr>
                <w:rFonts w:ascii="楷体" w:hAnsi="楷体" w:eastAsia="楷体"/>
                <w:sz w:val="24"/>
                <w:szCs w:val="24"/>
              </w:rPr>
            </w:pPr>
          </w:p>
        </w:tc>
      </w:tr>
    </w:tbl>
    <w:p>
      <w:pPr>
        <w:ind w:firstLine="540" w:firstLineChars="300"/>
        <w:rPr>
          <w:rFonts w:ascii="宋体" w:hAnsi="宋体"/>
          <w:sz w:val="18"/>
          <w:szCs w:val="18"/>
        </w:rPr>
      </w:pPr>
    </w:p>
    <w:p>
      <w:pPr>
        <w:spacing w:before="156" w:beforeLines="50"/>
        <w:ind w:left="567" w:leftChars="253" w:hanging="36" w:hangingChars="20"/>
        <w:jc w:val="left"/>
        <w:rPr>
          <w:rFonts w:ascii="宋体" w:hAnsi="宋体"/>
          <w:sz w:val="18"/>
          <w:szCs w:val="18"/>
        </w:rPr>
      </w:pPr>
      <w:r>
        <w:rPr>
          <w:rFonts w:hint="eastAsia" w:ascii="宋体" w:hAnsi="宋体"/>
          <w:b/>
          <w:sz w:val="18"/>
          <w:szCs w:val="18"/>
        </w:rPr>
        <w:t>每个学生必须完成的企业学习经历</w:t>
      </w:r>
      <w:r>
        <w:rPr>
          <w:rFonts w:hint="eastAsia" w:ascii="宋体" w:hAnsi="宋体"/>
          <w:sz w:val="18"/>
          <w:szCs w:val="18"/>
        </w:rPr>
        <w:t>（指要求所有学生必须待在企业的学习经历，不包括部分学生参与的活动，也不包括在校内特设的实训基地的学习经历，没有则不必提供）</w:t>
      </w:r>
    </w:p>
    <w:tbl>
      <w:tblPr>
        <w:tblStyle w:val="27"/>
        <w:tblW w:w="7356" w:type="dxa"/>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1985"/>
        <w:gridCol w:w="170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9" w:type="dxa"/>
          </w:tcPr>
          <w:p>
            <w:pPr>
              <w:spacing w:before="156" w:beforeLines="50" w:line="360" w:lineRule="auto"/>
              <w:jc w:val="center"/>
              <w:rPr>
                <w:rFonts w:ascii="宋体" w:hAnsi="宋体"/>
                <w:sz w:val="18"/>
                <w:szCs w:val="18"/>
              </w:rPr>
            </w:pPr>
            <w:r>
              <w:rPr>
                <w:rFonts w:hint="eastAsia" w:ascii="宋体" w:hAnsi="宋体"/>
                <w:sz w:val="18"/>
                <w:szCs w:val="18"/>
              </w:rPr>
              <w:t>类别</w:t>
            </w:r>
          </w:p>
        </w:tc>
        <w:tc>
          <w:tcPr>
            <w:tcW w:w="1985" w:type="dxa"/>
          </w:tcPr>
          <w:p>
            <w:pPr>
              <w:spacing w:before="156" w:beforeLines="50" w:line="360" w:lineRule="auto"/>
              <w:jc w:val="center"/>
              <w:rPr>
                <w:rFonts w:ascii="宋体" w:hAnsi="宋体"/>
                <w:sz w:val="18"/>
                <w:szCs w:val="18"/>
              </w:rPr>
            </w:pPr>
            <w:r>
              <w:rPr>
                <w:rFonts w:hint="eastAsia" w:ascii="宋体" w:hAnsi="宋体"/>
                <w:sz w:val="18"/>
                <w:szCs w:val="18"/>
              </w:rPr>
              <w:t>内容要求与教学方式</w:t>
            </w:r>
          </w:p>
        </w:tc>
        <w:tc>
          <w:tcPr>
            <w:tcW w:w="1701" w:type="dxa"/>
          </w:tcPr>
          <w:p>
            <w:pPr>
              <w:spacing w:before="156" w:beforeLines="50" w:line="360" w:lineRule="auto"/>
              <w:jc w:val="center"/>
              <w:rPr>
                <w:rFonts w:ascii="宋体" w:hAnsi="宋体"/>
                <w:sz w:val="18"/>
                <w:szCs w:val="18"/>
              </w:rPr>
            </w:pPr>
            <w:r>
              <w:rPr>
                <w:rFonts w:hint="eastAsia" w:ascii="宋体" w:hAnsi="宋体"/>
                <w:sz w:val="18"/>
                <w:szCs w:val="18"/>
              </w:rPr>
              <w:t>学分</w:t>
            </w:r>
            <w:r>
              <w:rPr>
                <w:rFonts w:ascii="宋体" w:hAnsi="宋体"/>
                <w:sz w:val="18"/>
                <w:szCs w:val="18"/>
              </w:rPr>
              <w:t>/周数</w:t>
            </w:r>
          </w:p>
        </w:tc>
        <w:tc>
          <w:tcPr>
            <w:tcW w:w="2551" w:type="dxa"/>
          </w:tcPr>
          <w:p>
            <w:pPr>
              <w:spacing w:before="156" w:beforeLines="50" w:line="360" w:lineRule="auto"/>
              <w:jc w:val="center"/>
              <w:rPr>
                <w:rFonts w:ascii="宋体" w:hAnsi="宋体"/>
                <w:sz w:val="18"/>
                <w:szCs w:val="18"/>
              </w:rPr>
            </w:pPr>
            <w:r>
              <w:rPr>
                <w:rFonts w:hint="eastAsia" w:ascii="宋体" w:hAnsi="宋体"/>
                <w:sz w:val="18"/>
                <w:szCs w:val="18"/>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9" w:type="dxa"/>
          </w:tcPr>
          <w:p>
            <w:pPr>
              <w:spacing w:line="360" w:lineRule="auto"/>
              <w:ind w:firstLine="708" w:firstLineChars="295"/>
              <w:jc w:val="left"/>
              <w:rPr>
                <w:rFonts w:ascii="楷体" w:hAnsi="楷体" w:eastAsia="楷体"/>
                <w:sz w:val="24"/>
                <w:szCs w:val="24"/>
              </w:rPr>
            </w:pPr>
          </w:p>
        </w:tc>
        <w:tc>
          <w:tcPr>
            <w:tcW w:w="1985" w:type="dxa"/>
          </w:tcPr>
          <w:p>
            <w:pPr>
              <w:spacing w:line="360" w:lineRule="auto"/>
              <w:ind w:firstLine="708" w:firstLineChars="295"/>
              <w:jc w:val="left"/>
              <w:rPr>
                <w:rFonts w:ascii="楷体" w:hAnsi="楷体" w:eastAsia="楷体"/>
                <w:sz w:val="24"/>
                <w:szCs w:val="24"/>
              </w:rPr>
            </w:pPr>
          </w:p>
        </w:tc>
        <w:tc>
          <w:tcPr>
            <w:tcW w:w="1701" w:type="dxa"/>
          </w:tcPr>
          <w:p>
            <w:pPr>
              <w:spacing w:line="360" w:lineRule="auto"/>
              <w:ind w:firstLine="708" w:firstLineChars="295"/>
              <w:jc w:val="left"/>
              <w:rPr>
                <w:rFonts w:ascii="楷体" w:hAnsi="楷体" w:eastAsia="楷体"/>
                <w:sz w:val="24"/>
                <w:szCs w:val="24"/>
              </w:rPr>
            </w:pPr>
          </w:p>
        </w:tc>
        <w:tc>
          <w:tcPr>
            <w:tcW w:w="2551" w:type="dxa"/>
          </w:tcPr>
          <w:p>
            <w:pPr>
              <w:spacing w:line="360" w:lineRule="auto"/>
              <w:ind w:firstLine="708" w:firstLineChars="295"/>
              <w:jc w:val="left"/>
              <w:rPr>
                <w:rFonts w:ascii="楷体" w:hAnsi="楷体" w:eastAsia="楷体"/>
                <w:sz w:val="24"/>
                <w:szCs w:val="24"/>
              </w:rPr>
            </w:pPr>
          </w:p>
        </w:tc>
      </w:tr>
    </w:tbl>
    <w:p>
      <w:pPr>
        <w:rPr>
          <w:rFonts w:ascii="宋体" w:hAnsi="宋体"/>
          <w:sz w:val="18"/>
          <w:szCs w:val="18"/>
        </w:rPr>
      </w:pPr>
    </w:p>
    <w:p>
      <w:pPr>
        <w:ind w:firstLine="542" w:firstLineChars="300"/>
        <w:rPr>
          <w:rFonts w:ascii="宋体" w:hAnsi="宋体"/>
          <w:sz w:val="18"/>
          <w:szCs w:val="18"/>
        </w:rPr>
      </w:pPr>
      <w:r>
        <w:rPr>
          <w:rFonts w:hint="eastAsia" w:ascii="宋体" w:hAnsi="宋体"/>
          <w:b/>
          <w:sz w:val="18"/>
          <w:szCs w:val="18"/>
        </w:rPr>
        <w:t>以团队形式完成的实践教学活动</w:t>
      </w:r>
      <w:r>
        <w:rPr>
          <w:rFonts w:hint="eastAsia" w:ascii="宋体" w:hAnsi="宋体"/>
          <w:sz w:val="18"/>
          <w:szCs w:val="18"/>
        </w:rPr>
        <w:t>（不包括课外活动，如果没有则不必提供）</w:t>
      </w:r>
    </w:p>
    <w:tbl>
      <w:tblPr>
        <w:tblStyle w:val="27"/>
        <w:tblW w:w="7356" w:type="dxa"/>
        <w:tblInd w:w="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1985"/>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9" w:type="dxa"/>
          </w:tcPr>
          <w:p>
            <w:pPr>
              <w:spacing w:before="156" w:beforeLines="50" w:line="360" w:lineRule="auto"/>
              <w:jc w:val="center"/>
              <w:rPr>
                <w:rFonts w:ascii="宋体" w:hAnsi="宋体"/>
                <w:sz w:val="18"/>
                <w:szCs w:val="18"/>
              </w:rPr>
            </w:pPr>
            <w:r>
              <w:rPr>
                <w:rFonts w:hint="eastAsia" w:ascii="宋体" w:hAnsi="宋体"/>
                <w:sz w:val="18"/>
                <w:szCs w:val="18"/>
              </w:rPr>
              <w:t>环节名称</w:t>
            </w:r>
          </w:p>
        </w:tc>
        <w:tc>
          <w:tcPr>
            <w:tcW w:w="1985" w:type="dxa"/>
          </w:tcPr>
          <w:p>
            <w:pPr>
              <w:spacing w:before="156" w:beforeLines="50" w:line="360" w:lineRule="auto"/>
              <w:jc w:val="center"/>
              <w:rPr>
                <w:rFonts w:ascii="宋体" w:hAnsi="宋体"/>
                <w:sz w:val="18"/>
                <w:szCs w:val="18"/>
              </w:rPr>
            </w:pPr>
            <w:r>
              <w:rPr>
                <w:rFonts w:hint="eastAsia" w:ascii="宋体" w:hAnsi="宋体"/>
                <w:sz w:val="18"/>
                <w:szCs w:val="18"/>
              </w:rPr>
              <w:t>内容要求与教学方式</w:t>
            </w:r>
          </w:p>
        </w:tc>
        <w:tc>
          <w:tcPr>
            <w:tcW w:w="2126" w:type="dxa"/>
          </w:tcPr>
          <w:p>
            <w:pPr>
              <w:spacing w:before="156" w:beforeLines="50" w:line="360" w:lineRule="auto"/>
              <w:jc w:val="center"/>
              <w:rPr>
                <w:rFonts w:ascii="宋体" w:hAnsi="宋体"/>
                <w:sz w:val="18"/>
                <w:szCs w:val="18"/>
              </w:rPr>
            </w:pPr>
            <w:r>
              <w:rPr>
                <w:rFonts w:hint="eastAsia" w:ascii="宋体" w:hAnsi="宋体"/>
                <w:sz w:val="18"/>
                <w:szCs w:val="18"/>
              </w:rPr>
              <w:t>学分/（学时或周数）</w:t>
            </w:r>
          </w:p>
        </w:tc>
        <w:tc>
          <w:tcPr>
            <w:tcW w:w="2126" w:type="dxa"/>
          </w:tcPr>
          <w:p>
            <w:pPr>
              <w:spacing w:before="156" w:beforeLines="50" w:line="360" w:lineRule="auto"/>
              <w:jc w:val="center"/>
              <w:rPr>
                <w:rFonts w:ascii="宋体" w:hAnsi="宋体"/>
                <w:sz w:val="18"/>
                <w:szCs w:val="18"/>
              </w:rPr>
            </w:pPr>
            <w:r>
              <w:rPr>
                <w:rFonts w:hint="eastAsia" w:ascii="宋体" w:hAnsi="宋体"/>
                <w:sz w:val="18"/>
                <w:szCs w:val="18"/>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9" w:type="dxa"/>
          </w:tcPr>
          <w:p>
            <w:pPr>
              <w:spacing w:line="360" w:lineRule="auto"/>
              <w:ind w:firstLine="531" w:firstLineChars="295"/>
              <w:jc w:val="left"/>
              <w:rPr>
                <w:rFonts w:ascii="宋体" w:hAnsi="宋体"/>
                <w:sz w:val="18"/>
                <w:szCs w:val="18"/>
              </w:rPr>
            </w:pPr>
          </w:p>
        </w:tc>
        <w:tc>
          <w:tcPr>
            <w:tcW w:w="1985" w:type="dxa"/>
          </w:tcPr>
          <w:p>
            <w:pPr>
              <w:spacing w:line="360" w:lineRule="auto"/>
              <w:ind w:firstLine="531" w:firstLineChars="295"/>
              <w:jc w:val="left"/>
              <w:rPr>
                <w:rFonts w:ascii="宋体" w:hAnsi="宋体"/>
                <w:sz w:val="18"/>
                <w:szCs w:val="18"/>
              </w:rPr>
            </w:pPr>
          </w:p>
        </w:tc>
        <w:tc>
          <w:tcPr>
            <w:tcW w:w="2126" w:type="dxa"/>
          </w:tcPr>
          <w:p>
            <w:pPr>
              <w:spacing w:line="360" w:lineRule="auto"/>
              <w:ind w:firstLine="531" w:firstLineChars="295"/>
              <w:jc w:val="left"/>
              <w:rPr>
                <w:rFonts w:ascii="宋体" w:hAnsi="宋体"/>
                <w:sz w:val="18"/>
                <w:szCs w:val="18"/>
              </w:rPr>
            </w:pPr>
          </w:p>
        </w:tc>
        <w:tc>
          <w:tcPr>
            <w:tcW w:w="2126" w:type="dxa"/>
          </w:tcPr>
          <w:p>
            <w:pPr>
              <w:spacing w:line="360" w:lineRule="auto"/>
              <w:ind w:firstLine="531" w:firstLineChars="295"/>
              <w:jc w:val="left"/>
              <w:rPr>
                <w:rFonts w:ascii="宋体" w:hAnsi="宋体"/>
                <w:sz w:val="18"/>
                <w:szCs w:val="18"/>
              </w:rPr>
            </w:pPr>
          </w:p>
        </w:tc>
      </w:tr>
    </w:tbl>
    <w:p>
      <w:pPr>
        <w:spacing w:before="156" w:line="360" w:lineRule="auto"/>
        <w:ind w:firstLine="533" w:firstLineChars="295"/>
        <w:jc w:val="left"/>
        <w:rPr>
          <w:rFonts w:ascii="宋体" w:hAnsi="宋体"/>
          <w:sz w:val="18"/>
          <w:szCs w:val="18"/>
        </w:rPr>
      </w:pPr>
      <w:r>
        <w:rPr>
          <w:rFonts w:hint="eastAsia" w:ascii="宋体" w:hAnsi="宋体"/>
          <w:b/>
          <w:sz w:val="18"/>
          <w:szCs w:val="18"/>
        </w:rPr>
        <w:t>近三年毕业设计（论文）分类情况</w:t>
      </w:r>
      <w:r>
        <w:rPr>
          <w:rFonts w:hint="eastAsia" w:ascii="宋体" w:hAnsi="宋体"/>
          <w:sz w:val="18"/>
          <w:szCs w:val="18"/>
        </w:rPr>
        <w:t>（如果不分类，则作为一类填写）</w:t>
      </w:r>
    </w:p>
    <w:tbl>
      <w:tblPr>
        <w:tblStyle w:val="27"/>
        <w:tblW w:w="5751" w:type="dxa"/>
        <w:tblInd w:w="6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756"/>
        <w:gridCol w:w="1476"/>
        <w:gridCol w:w="981"/>
        <w:gridCol w:w="981"/>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Merge w:val="restart"/>
            <w:vAlign w:val="center"/>
          </w:tcPr>
          <w:p>
            <w:pPr>
              <w:spacing w:line="240" w:lineRule="exact"/>
              <w:jc w:val="center"/>
              <w:rPr>
                <w:rFonts w:ascii="宋体" w:hAnsi="宋体"/>
                <w:sz w:val="18"/>
                <w:szCs w:val="18"/>
              </w:rPr>
            </w:pPr>
            <w:r>
              <w:rPr>
                <w:rFonts w:hint="eastAsia" w:ascii="宋体" w:hAnsi="宋体"/>
                <w:sz w:val="18"/>
                <w:szCs w:val="18"/>
              </w:rPr>
              <w:t>类别</w:t>
            </w:r>
          </w:p>
        </w:tc>
        <w:tc>
          <w:tcPr>
            <w:tcW w:w="756" w:type="dxa"/>
            <w:vMerge w:val="restart"/>
            <w:vAlign w:val="center"/>
          </w:tcPr>
          <w:p>
            <w:pPr>
              <w:spacing w:line="240" w:lineRule="exact"/>
              <w:jc w:val="center"/>
              <w:rPr>
                <w:rFonts w:ascii="宋体" w:hAnsi="宋体"/>
                <w:sz w:val="18"/>
                <w:szCs w:val="18"/>
              </w:rPr>
            </w:pPr>
            <w:r>
              <w:rPr>
                <w:rFonts w:hint="eastAsia" w:ascii="宋体" w:hAnsi="宋体"/>
                <w:sz w:val="18"/>
                <w:szCs w:val="18"/>
              </w:rPr>
              <w:t>分类基</w:t>
            </w:r>
          </w:p>
          <w:p>
            <w:pPr>
              <w:spacing w:line="240" w:lineRule="exact"/>
              <w:jc w:val="center"/>
              <w:rPr>
                <w:rFonts w:ascii="宋体" w:hAnsi="宋体"/>
                <w:sz w:val="18"/>
                <w:szCs w:val="18"/>
              </w:rPr>
            </w:pPr>
            <w:r>
              <w:rPr>
                <w:rFonts w:hint="eastAsia" w:ascii="宋体" w:hAnsi="宋体"/>
                <w:sz w:val="18"/>
                <w:szCs w:val="18"/>
              </w:rPr>
              <w:t>本描述</w:t>
            </w:r>
          </w:p>
        </w:tc>
        <w:tc>
          <w:tcPr>
            <w:tcW w:w="1476" w:type="dxa"/>
            <w:vMerge w:val="restart"/>
            <w:tcBorders>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对该类论文内容</w:t>
            </w:r>
          </w:p>
          <w:p>
            <w:pPr>
              <w:spacing w:line="240" w:lineRule="exact"/>
              <w:jc w:val="center"/>
              <w:rPr>
                <w:rFonts w:ascii="宋体" w:hAnsi="宋体"/>
                <w:sz w:val="18"/>
                <w:szCs w:val="18"/>
              </w:rPr>
            </w:pPr>
            <w:r>
              <w:rPr>
                <w:rFonts w:hint="eastAsia" w:ascii="宋体" w:hAnsi="宋体"/>
                <w:sz w:val="18"/>
                <w:szCs w:val="18"/>
              </w:rPr>
              <w:t>的基本要求</w:t>
            </w:r>
          </w:p>
        </w:tc>
        <w:tc>
          <w:tcPr>
            <w:tcW w:w="2943" w:type="dxa"/>
            <w:gridSpan w:val="3"/>
            <w:vAlign w:val="center"/>
          </w:tcPr>
          <w:p>
            <w:pPr>
              <w:spacing w:line="240" w:lineRule="exact"/>
              <w:jc w:val="center"/>
              <w:rPr>
                <w:rFonts w:ascii="宋体" w:hAnsi="宋体"/>
                <w:sz w:val="18"/>
                <w:szCs w:val="18"/>
              </w:rPr>
            </w:pPr>
            <w:r>
              <w:rPr>
                <w:rFonts w:hint="eastAsia" w:ascii="宋体" w:hAnsi="宋体"/>
                <w:sz w:val="18"/>
                <w:szCs w:val="18"/>
              </w:rPr>
              <w:t>该类论文所占</w:t>
            </w:r>
            <w:r>
              <w:rPr>
                <w:rFonts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Merge w:val="continue"/>
            <w:vAlign w:val="center"/>
          </w:tcPr>
          <w:p>
            <w:pPr>
              <w:spacing w:line="240" w:lineRule="exact"/>
              <w:ind w:firstLine="531" w:firstLineChars="295"/>
              <w:jc w:val="center"/>
              <w:rPr>
                <w:rFonts w:ascii="宋体" w:hAnsi="宋体"/>
                <w:sz w:val="18"/>
                <w:szCs w:val="18"/>
              </w:rPr>
            </w:pPr>
          </w:p>
        </w:tc>
        <w:tc>
          <w:tcPr>
            <w:tcW w:w="756" w:type="dxa"/>
            <w:vMerge w:val="continue"/>
            <w:vAlign w:val="center"/>
          </w:tcPr>
          <w:p>
            <w:pPr>
              <w:spacing w:line="240" w:lineRule="exact"/>
              <w:ind w:firstLine="531" w:firstLineChars="295"/>
              <w:jc w:val="center"/>
              <w:rPr>
                <w:rFonts w:ascii="宋体" w:hAnsi="宋体"/>
                <w:sz w:val="18"/>
                <w:szCs w:val="18"/>
              </w:rPr>
            </w:pPr>
          </w:p>
        </w:tc>
        <w:tc>
          <w:tcPr>
            <w:tcW w:w="1476" w:type="dxa"/>
            <w:vMerge w:val="continue"/>
            <w:tcBorders>
              <w:right w:val="single" w:color="auto" w:sz="4" w:space="0"/>
            </w:tcBorders>
            <w:vAlign w:val="center"/>
          </w:tcPr>
          <w:p>
            <w:pPr>
              <w:spacing w:line="240" w:lineRule="exact"/>
              <w:ind w:firstLine="531" w:firstLineChars="295"/>
              <w:jc w:val="center"/>
              <w:rPr>
                <w:rFonts w:ascii="宋体" w:hAnsi="宋体"/>
                <w:sz w:val="18"/>
                <w:szCs w:val="18"/>
              </w:rPr>
            </w:pPr>
          </w:p>
        </w:tc>
        <w:tc>
          <w:tcPr>
            <w:tcW w:w="981" w:type="dxa"/>
            <w:vAlign w:val="center"/>
          </w:tcPr>
          <w:p>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pPr>
              <w:spacing w:line="240" w:lineRule="exact"/>
              <w:jc w:val="center"/>
              <w:rPr>
                <w:rFonts w:ascii="宋体" w:hAnsi="宋体"/>
                <w:sz w:val="18"/>
                <w:szCs w:val="18"/>
              </w:rPr>
            </w:pPr>
            <w:r>
              <w:rPr>
                <w:rFonts w:ascii="宋体" w:hAnsi="宋体"/>
                <w:sz w:val="18"/>
                <w:szCs w:val="18"/>
              </w:rPr>
              <w:t>xxxx学年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576" w:type="dxa"/>
          </w:tcPr>
          <w:p>
            <w:pPr>
              <w:spacing w:line="240" w:lineRule="exact"/>
              <w:ind w:firstLine="531" w:firstLineChars="295"/>
              <w:jc w:val="center"/>
              <w:rPr>
                <w:rFonts w:ascii="宋体" w:hAnsi="宋体"/>
                <w:sz w:val="18"/>
                <w:szCs w:val="18"/>
              </w:rPr>
            </w:pPr>
          </w:p>
        </w:tc>
        <w:tc>
          <w:tcPr>
            <w:tcW w:w="756" w:type="dxa"/>
          </w:tcPr>
          <w:p>
            <w:pPr>
              <w:spacing w:line="240" w:lineRule="exact"/>
              <w:ind w:firstLine="531" w:firstLineChars="295"/>
              <w:jc w:val="center"/>
              <w:rPr>
                <w:rFonts w:ascii="宋体" w:hAnsi="宋体"/>
                <w:sz w:val="18"/>
                <w:szCs w:val="18"/>
              </w:rPr>
            </w:pPr>
          </w:p>
        </w:tc>
        <w:tc>
          <w:tcPr>
            <w:tcW w:w="1476" w:type="dxa"/>
            <w:tcBorders>
              <w:right w:val="single" w:color="auto" w:sz="4" w:space="0"/>
            </w:tcBorders>
          </w:tcPr>
          <w:p>
            <w:pPr>
              <w:spacing w:line="240" w:lineRule="exact"/>
              <w:ind w:firstLine="531" w:firstLineChars="295"/>
              <w:jc w:val="center"/>
              <w:rPr>
                <w:rFonts w:ascii="宋体" w:hAnsi="宋体"/>
                <w:sz w:val="18"/>
                <w:szCs w:val="18"/>
              </w:rPr>
            </w:pPr>
          </w:p>
        </w:tc>
        <w:tc>
          <w:tcPr>
            <w:tcW w:w="981" w:type="dxa"/>
          </w:tcPr>
          <w:p>
            <w:pPr>
              <w:spacing w:line="240" w:lineRule="exact"/>
              <w:jc w:val="center"/>
              <w:rPr>
                <w:rFonts w:ascii="宋体" w:hAnsi="宋体"/>
                <w:sz w:val="18"/>
                <w:szCs w:val="18"/>
              </w:rPr>
            </w:pPr>
          </w:p>
        </w:tc>
        <w:tc>
          <w:tcPr>
            <w:tcW w:w="981" w:type="dxa"/>
          </w:tcPr>
          <w:p>
            <w:pPr>
              <w:spacing w:line="240" w:lineRule="exact"/>
              <w:ind w:firstLine="531" w:firstLineChars="295"/>
              <w:jc w:val="center"/>
              <w:rPr>
                <w:rFonts w:ascii="宋体" w:hAnsi="宋体"/>
                <w:sz w:val="18"/>
                <w:szCs w:val="18"/>
              </w:rPr>
            </w:pPr>
          </w:p>
        </w:tc>
        <w:tc>
          <w:tcPr>
            <w:tcW w:w="981" w:type="dxa"/>
          </w:tcPr>
          <w:p>
            <w:pPr>
              <w:spacing w:line="240" w:lineRule="exact"/>
              <w:ind w:firstLine="531" w:firstLineChars="295"/>
              <w:jc w:val="center"/>
              <w:rPr>
                <w:rFonts w:ascii="宋体" w:hAnsi="宋体"/>
                <w:sz w:val="18"/>
                <w:szCs w:val="18"/>
              </w:rPr>
            </w:pPr>
          </w:p>
        </w:tc>
      </w:tr>
    </w:tbl>
    <w:p>
      <w:pPr>
        <w:jc w:val="left"/>
        <w:rPr>
          <w:rFonts w:ascii="宋体" w:hAnsi="宋体"/>
          <w:sz w:val="18"/>
          <w:szCs w:val="18"/>
        </w:rPr>
      </w:pPr>
      <w:r>
        <w:rPr>
          <w:rFonts w:hint="eastAsia" w:ascii="宋体" w:hAnsi="宋体"/>
          <w:sz w:val="18"/>
          <w:szCs w:val="18"/>
        </w:rPr>
        <w:t>（类别指各专业自行定义的毕业论文类型，如工程设计、理论研究、试验研究、软件设计等）</w:t>
      </w:r>
    </w:p>
    <w:p>
      <w:pPr>
        <w:spacing w:before="312" w:beforeLines="100" w:line="360" w:lineRule="auto"/>
        <w:ind w:firstLine="426" w:firstLineChars="236"/>
        <w:jc w:val="left"/>
        <w:rPr>
          <w:rFonts w:ascii="宋体" w:hAnsi="宋体"/>
          <w:b/>
          <w:sz w:val="18"/>
          <w:szCs w:val="18"/>
        </w:rPr>
      </w:pPr>
      <w:r>
        <w:rPr>
          <w:rFonts w:hint="eastAsia" w:ascii="宋体" w:hAnsi="宋体"/>
          <w:b/>
          <w:sz w:val="18"/>
          <w:szCs w:val="18"/>
        </w:rPr>
        <w:t>与企业合作开展实习、实训的情况</w:t>
      </w:r>
    </w:p>
    <w:tbl>
      <w:tblPr>
        <w:tblStyle w:val="27"/>
        <w:tblW w:w="6327"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756"/>
        <w:gridCol w:w="936"/>
        <w:gridCol w:w="1116"/>
        <w:gridCol w:w="981"/>
        <w:gridCol w:w="981"/>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76" w:type="dxa"/>
            <w:vMerge w:val="restart"/>
            <w:vAlign w:val="center"/>
          </w:tcPr>
          <w:p>
            <w:pPr>
              <w:spacing w:line="240" w:lineRule="exact"/>
              <w:jc w:val="center"/>
              <w:rPr>
                <w:rFonts w:ascii="宋体" w:hAnsi="宋体"/>
                <w:sz w:val="18"/>
                <w:szCs w:val="18"/>
              </w:rPr>
            </w:pPr>
            <w:r>
              <w:rPr>
                <w:rFonts w:hint="eastAsia" w:ascii="宋体" w:hAnsi="宋体"/>
                <w:sz w:val="18"/>
                <w:szCs w:val="18"/>
              </w:rPr>
              <w:t>基地</w:t>
            </w:r>
          </w:p>
          <w:p>
            <w:pPr>
              <w:spacing w:line="240" w:lineRule="exact"/>
              <w:jc w:val="center"/>
              <w:rPr>
                <w:rFonts w:ascii="宋体" w:hAnsi="宋体"/>
                <w:sz w:val="18"/>
                <w:szCs w:val="18"/>
              </w:rPr>
            </w:pPr>
            <w:r>
              <w:rPr>
                <w:rFonts w:hint="eastAsia" w:ascii="宋体" w:hAnsi="宋体"/>
                <w:sz w:val="18"/>
                <w:szCs w:val="18"/>
              </w:rPr>
              <w:t>名称</w:t>
            </w:r>
          </w:p>
        </w:tc>
        <w:tc>
          <w:tcPr>
            <w:tcW w:w="756" w:type="dxa"/>
            <w:vMerge w:val="restart"/>
            <w:vAlign w:val="center"/>
          </w:tcPr>
          <w:p>
            <w:pPr>
              <w:spacing w:line="240" w:lineRule="exact"/>
              <w:jc w:val="center"/>
              <w:rPr>
                <w:rFonts w:ascii="宋体" w:hAnsi="宋体"/>
                <w:sz w:val="18"/>
                <w:szCs w:val="18"/>
              </w:rPr>
            </w:pPr>
            <w:r>
              <w:rPr>
                <w:rFonts w:hint="eastAsia" w:ascii="宋体" w:hAnsi="宋体"/>
                <w:sz w:val="18"/>
                <w:szCs w:val="18"/>
              </w:rPr>
              <w:t>校外</w:t>
            </w:r>
          </w:p>
          <w:p>
            <w:pPr>
              <w:spacing w:line="240" w:lineRule="exact"/>
              <w:jc w:val="center"/>
              <w:rPr>
                <w:rFonts w:ascii="宋体" w:hAnsi="宋体"/>
                <w:sz w:val="18"/>
                <w:szCs w:val="18"/>
              </w:rPr>
            </w:pPr>
            <w:r>
              <w:rPr>
                <w:rFonts w:hint="eastAsia" w:ascii="宋体" w:hAnsi="宋体"/>
                <w:sz w:val="18"/>
                <w:szCs w:val="18"/>
              </w:rPr>
              <w:t>合作方</w:t>
            </w:r>
          </w:p>
        </w:tc>
        <w:tc>
          <w:tcPr>
            <w:tcW w:w="936" w:type="dxa"/>
            <w:vMerge w:val="restart"/>
            <w:vAlign w:val="center"/>
          </w:tcPr>
          <w:p>
            <w:pPr>
              <w:spacing w:line="240" w:lineRule="exact"/>
              <w:jc w:val="center"/>
              <w:rPr>
                <w:rFonts w:ascii="宋体" w:hAnsi="宋体"/>
                <w:sz w:val="18"/>
                <w:szCs w:val="18"/>
              </w:rPr>
            </w:pPr>
            <w:r>
              <w:rPr>
                <w:rFonts w:hint="eastAsia" w:ascii="宋体" w:hAnsi="宋体"/>
                <w:sz w:val="18"/>
                <w:szCs w:val="18"/>
              </w:rPr>
              <w:t>承担的</w:t>
            </w:r>
          </w:p>
          <w:p>
            <w:pPr>
              <w:spacing w:line="240" w:lineRule="exact"/>
              <w:jc w:val="center"/>
              <w:rPr>
                <w:rFonts w:ascii="宋体" w:hAnsi="宋体"/>
                <w:sz w:val="18"/>
                <w:szCs w:val="18"/>
              </w:rPr>
            </w:pPr>
            <w:r>
              <w:rPr>
                <w:rFonts w:hint="eastAsia" w:ascii="宋体" w:hAnsi="宋体"/>
                <w:sz w:val="18"/>
                <w:szCs w:val="18"/>
              </w:rPr>
              <w:t>教学任务</w:t>
            </w:r>
          </w:p>
        </w:tc>
        <w:tc>
          <w:tcPr>
            <w:tcW w:w="1116" w:type="dxa"/>
            <w:vMerge w:val="restart"/>
            <w:vAlign w:val="center"/>
          </w:tcPr>
          <w:p>
            <w:pPr>
              <w:spacing w:line="240" w:lineRule="exact"/>
              <w:jc w:val="center"/>
              <w:rPr>
                <w:rFonts w:ascii="宋体" w:hAnsi="宋体"/>
                <w:sz w:val="18"/>
                <w:szCs w:val="18"/>
              </w:rPr>
            </w:pPr>
            <w:r>
              <w:rPr>
                <w:rFonts w:hint="eastAsia" w:ascii="宋体" w:hAnsi="宋体"/>
                <w:sz w:val="18"/>
                <w:szCs w:val="18"/>
              </w:rPr>
              <w:t>学生在基地</w:t>
            </w:r>
          </w:p>
          <w:p>
            <w:pPr>
              <w:spacing w:line="240" w:lineRule="exact"/>
              <w:jc w:val="center"/>
              <w:rPr>
                <w:rFonts w:ascii="宋体" w:hAnsi="宋体"/>
                <w:sz w:val="18"/>
                <w:szCs w:val="18"/>
              </w:rPr>
            </w:pPr>
            <w:r>
              <w:rPr>
                <w:rFonts w:hint="eastAsia" w:ascii="宋体" w:hAnsi="宋体"/>
                <w:sz w:val="18"/>
                <w:szCs w:val="18"/>
              </w:rPr>
              <w:t>考核方式</w:t>
            </w:r>
          </w:p>
        </w:tc>
        <w:tc>
          <w:tcPr>
            <w:tcW w:w="2943" w:type="dxa"/>
            <w:gridSpan w:val="3"/>
            <w:vAlign w:val="center"/>
          </w:tcPr>
          <w:p>
            <w:pPr>
              <w:spacing w:line="240" w:lineRule="exact"/>
              <w:jc w:val="center"/>
              <w:rPr>
                <w:rFonts w:ascii="宋体" w:hAnsi="宋体"/>
                <w:sz w:val="18"/>
                <w:szCs w:val="18"/>
              </w:rPr>
            </w:pPr>
            <w:r>
              <w:rPr>
                <w:rFonts w:hint="eastAsia" w:ascii="宋体" w:hAnsi="宋体"/>
                <w:sz w:val="18"/>
                <w:szCs w:val="18"/>
              </w:rPr>
              <w:t>每年进基地学生数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576" w:type="dxa"/>
            <w:vMerge w:val="continue"/>
            <w:vAlign w:val="center"/>
          </w:tcPr>
          <w:p>
            <w:pPr>
              <w:spacing w:line="240" w:lineRule="exact"/>
              <w:ind w:firstLine="424" w:firstLineChars="236"/>
              <w:jc w:val="center"/>
              <w:rPr>
                <w:rFonts w:ascii="宋体" w:hAnsi="宋体"/>
                <w:sz w:val="18"/>
                <w:szCs w:val="18"/>
              </w:rPr>
            </w:pPr>
          </w:p>
        </w:tc>
        <w:tc>
          <w:tcPr>
            <w:tcW w:w="756" w:type="dxa"/>
            <w:vMerge w:val="continue"/>
            <w:vAlign w:val="center"/>
          </w:tcPr>
          <w:p>
            <w:pPr>
              <w:spacing w:line="240" w:lineRule="exact"/>
              <w:ind w:firstLine="424" w:firstLineChars="236"/>
              <w:jc w:val="center"/>
              <w:rPr>
                <w:rFonts w:ascii="宋体" w:hAnsi="宋体"/>
                <w:sz w:val="18"/>
                <w:szCs w:val="18"/>
              </w:rPr>
            </w:pPr>
          </w:p>
        </w:tc>
        <w:tc>
          <w:tcPr>
            <w:tcW w:w="936" w:type="dxa"/>
            <w:vMerge w:val="continue"/>
            <w:vAlign w:val="center"/>
          </w:tcPr>
          <w:p>
            <w:pPr>
              <w:spacing w:line="240" w:lineRule="exact"/>
              <w:ind w:firstLine="424" w:firstLineChars="236"/>
              <w:jc w:val="center"/>
              <w:rPr>
                <w:rFonts w:ascii="宋体" w:hAnsi="宋体"/>
                <w:sz w:val="18"/>
                <w:szCs w:val="18"/>
              </w:rPr>
            </w:pPr>
          </w:p>
        </w:tc>
        <w:tc>
          <w:tcPr>
            <w:tcW w:w="1116" w:type="dxa"/>
            <w:vMerge w:val="continue"/>
            <w:vAlign w:val="center"/>
          </w:tcPr>
          <w:p>
            <w:pPr>
              <w:spacing w:line="240" w:lineRule="exact"/>
              <w:ind w:firstLine="424" w:firstLineChars="236"/>
              <w:jc w:val="center"/>
              <w:rPr>
                <w:rFonts w:ascii="宋体" w:hAnsi="宋体"/>
                <w:sz w:val="18"/>
                <w:szCs w:val="18"/>
              </w:rPr>
            </w:pPr>
          </w:p>
        </w:tc>
        <w:tc>
          <w:tcPr>
            <w:tcW w:w="981" w:type="dxa"/>
            <w:vAlign w:val="center"/>
          </w:tcPr>
          <w:p>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pPr>
              <w:spacing w:line="240" w:lineRule="exact"/>
              <w:jc w:val="center"/>
              <w:rPr>
                <w:rFonts w:ascii="宋体" w:hAnsi="宋体"/>
                <w:sz w:val="18"/>
                <w:szCs w:val="18"/>
              </w:rPr>
            </w:pPr>
            <w:r>
              <w:rPr>
                <w:rFonts w:ascii="宋体" w:hAnsi="宋体"/>
                <w:sz w:val="18"/>
                <w:szCs w:val="18"/>
              </w:rPr>
              <w:t>xxxx学年</w:t>
            </w:r>
          </w:p>
        </w:tc>
        <w:tc>
          <w:tcPr>
            <w:tcW w:w="981" w:type="dxa"/>
            <w:vAlign w:val="center"/>
          </w:tcPr>
          <w:p>
            <w:pPr>
              <w:spacing w:line="240" w:lineRule="exact"/>
              <w:jc w:val="center"/>
              <w:rPr>
                <w:rFonts w:ascii="宋体" w:hAnsi="宋体"/>
                <w:sz w:val="18"/>
                <w:szCs w:val="18"/>
              </w:rPr>
            </w:pPr>
            <w:r>
              <w:rPr>
                <w:rFonts w:ascii="宋体" w:hAnsi="宋体"/>
                <w:sz w:val="18"/>
                <w:szCs w:val="18"/>
              </w:rPr>
              <w:t>xxxx学年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76" w:type="dxa"/>
          </w:tcPr>
          <w:p>
            <w:pPr>
              <w:spacing w:line="240" w:lineRule="exact"/>
              <w:ind w:firstLine="424" w:firstLineChars="236"/>
              <w:jc w:val="left"/>
              <w:rPr>
                <w:rFonts w:ascii="宋体" w:hAnsi="宋体"/>
                <w:sz w:val="18"/>
                <w:szCs w:val="18"/>
              </w:rPr>
            </w:pPr>
          </w:p>
        </w:tc>
        <w:tc>
          <w:tcPr>
            <w:tcW w:w="756" w:type="dxa"/>
          </w:tcPr>
          <w:p>
            <w:pPr>
              <w:spacing w:line="240" w:lineRule="exact"/>
              <w:ind w:firstLine="424" w:firstLineChars="236"/>
              <w:jc w:val="left"/>
              <w:rPr>
                <w:rFonts w:ascii="宋体" w:hAnsi="宋体"/>
                <w:sz w:val="18"/>
                <w:szCs w:val="18"/>
              </w:rPr>
            </w:pPr>
          </w:p>
        </w:tc>
        <w:tc>
          <w:tcPr>
            <w:tcW w:w="936" w:type="dxa"/>
          </w:tcPr>
          <w:p>
            <w:pPr>
              <w:spacing w:line="240" w:lineRule="exact"/>
              <w:ind w:firstLine="424" w:firstLineChars="236"/>
              <w:jc w:val="left"/>
              <w:rPr>
                <w:rFonts w:ascii="宋体" w:hAnsi="宋体"/>
                <w:sz w:val="18"/>
                <w:szCs w:val="18"/>
              </w:rPr>
            </w:pPr>
          </w:p>
        </w:tc>
        <w:tc>
          <w:tcPr>
            <w:tcW w:w="1116" w:type="dxa"/>
          </w:tcPr>
          <w:p>
            <w:pPr>
              <w:spacing w:line="240" w:lineRule="exact"/>
              <w:ind w:firstLine="424" w:firstLineChars="236"/>
              <w:jc w:val="left"/>
              <w:rPr>
                <w:rFonts w:ascii="宋体" w:hAnsi="宋体"/>
                <w:sz w:val="18"/>
                <w:szCs w:val="18"/>
              </w:rPr>
            </w:pPr>
          </w:p>
        </w:tc>
        <w:tc>
          <w:tcPr>
            <w:tcW w:w="981" w:type="dxa"/>
          </w:tcPr>
          <w:p>
            <w:pPr>
              <w:spacing w:line="240" w:lineRule="exact"/>
              <w:ind w:firstLine="424" w:firstLineChars="236"/>
              <w:jc w:val="left"/>
              <w:rPr>
                <w:rFonts w:ascii="宋体" w:hAnsi="宋体"/>
                <w:sz w:val="18"/>
                <w:szCs w:val="18"/>
              </w:rPr>
            </w:pPr>
          </w:p>
        </w:tc>
        <w:tc>
          <w:tcPr>
            <w:tcW w:w="981" w:type="dxa"/>
          </w:tcPr>
          <w:p>
            <w:pPr>
              <w:spacing w:line="240" w:lineRule="exact"/>
              <w:ind w:firstLine="424" w:firstLineChars="236"/>
              <w:jc w:val="left"/>
              <w:rPr>
                <w:rFonts w:ascii="宋体" w:hAnsi="宋体"/>
                <w:sz w:val="18"/>
                <w:szCs w:val="18"/>
              </w:rPr>
            </w:pPr>
          </w:p>
        </w:tc>
        <w:tc>
          <w:tcPr>
            <w:tcW w:w="981" w:type="dxa"/>
          </w:tcPr>
          <w:p>
            <w:pPr>
              <w:spacing w:line="240" w:lineRule="exact"/>
              <w:ind w:firstLine="424" w:firstLineChars="236"/>
              <w:jc w:val="left"/>
              <w:rPr>
                <w:rFonts w:ascii="宋体" w:hAnsi="宋体"/>
                <w:sz w:val="18"/>
                <w:szCs w:val="18"/>
              </w:rPr>
            </w:pPr>
          </w:p>
        </w:tc>
      </w:tr>
    </w:tbl>
    <w:p>
      <w:pPr>
        <w:pStyle w:val="71"/>
        <w:spacing w:line="360" w:lineRule="auto"/>
        <w:ind w:left="1109"/>
        <w:rPr>
          <w:rFonts w:ascii="楷体" w:hAnsi="楷体" w:eastAsia="楷体"/>
          <w:lang w:eastAsia="zh-CN"/>
        </w:rPr>
      </w:pPr>
    </w:p>
    <w:p>
      <w:pPr>
        <w:pStyle w:val="71"/>
        <w:numPr>
          <w:ilvl w:val="0"/>
          <w:numId w:val="33"/>
        </w:numPr>
        <w:spacing w:line="360" w:lineRule="auto"/>
        <w:ind w:left="1276" w:hanging="425"/>
        <w:rPr>
          <w:rFonts w:ascii="楷体" w:hAnsi="楷体" w:eastAsia="楷体"/>
          <w:lang w:eastAsia="zh-CN"/>
        </w:rPr>
      </w:pPr>
      <w:r>
        <w:rPr>
          <w:rFonts w:hint="eastAsia" w:ascii="楷体" w:hAnsi="楷体" w:eastAsia="楷体"/>
          <w:lang w:eastAsia="zh-CN"/>
        </w:rPr>
        <w:t>专业与企业合作开展实习、实训，培养学生的工程实践能力和创新能力的措施和效果。</w:t>
      </w:r>
    </w:p>
    <w:p>
      <w:pPr>
        <w:pStyle w:val="71"/>
        <w:numPr>
          <w:ilvl w:val="0"/>
          <w:numId w:val="33"/>
        </w:numPr>
        <w:spacing w:line="360" w:lineRule="auto"/>
        <w:ind w:left="1276" w:hanging="425"/>
        <w:rPr>
          <w:rFonts w:ascii="楷体" w:hAnsi="楷体" w:eastAsia="楷体"/>
          <w:lang w:eastAsia="zh-CN"/>
        </w:rPr>
      </w:pPr>
      <w:r>
        <w:rPr>
          <w:rFonts w:hint="eastAsia" w:ascii="楷体" w:hAnsi="楷体" w:eastAsia="楷体"/>
          <w:lang w:eastAsia="zh-CN"/>
        </w:rPr>
        <w:t>专业对毕业设计（论文）的选题，培养过程和学习成果的基本要求和质量控制措施，这些要求和措施对培养学生工程意识、协作精神以及综合应用所学知识解决实际问题的能力培养的作用。</w:t>
      </w:r>
    </w:p>
    <w:p>
      <w:pPr>
        <w:pStyle w:val="71"/>
        <w:numPr>
          <w:ilvl w:val="0"/>
          <w:numId w:val="27"/>
        </w:numPr>
        <w:spacing w:line="360" w:lineRule="auto"/>
        <w:ind w:left="1276" w:hanging="425"/>
        <w:rPr>
          <w:rFonts w:ascii="楷体" w:hAnsi="楷体" w:eastAsia="楷体"/>
          <w:lang w:eastAsia="zh-CN"/>
        </w:rPr>
      </w:pPr>
      <w:r>
        <w:rPr>
          <w:rFonts w:hint="eastAsia" w:ascii="楷体" w:hAnsi="楷体" w:eastAsia="楷体"/>
          <w:lang w:eastAsia="zh-CN"/>
        </w:rPr>
        <w:t>保证行业企业专家参与毕业设计（论文）指导和考核的制度措施，最近三年行业企业专家的参与方式和发挥的作用。</w:t>
      </w:r>
    </w:p>
    <w:p>
      <w:pPr>
        <w:spacing w:before="156" w:beforeLines="50" w:line="360" w:lineRule="auto"/>
        <w:ind w:left="851"/>
        <w:rPr>
          <w:rFonts w:ascii="楷体" w:hAnsi="楷体" w:eastAsia="楷体"/>
          <w:b/>
          <w:sz w:val="24"/>
          <w:szCs w:val="24"/>
        </w:rPr>
      </w:pPr>
      <w:r>
        <w:rPr>
          <w:rFonts w:hint="eastAsia" w:ascii="楷体" w:hAnsi="楷体" w:eastAsia="楷体"/>
          <w:b/>
          <w:sz w:val="24"/>
          <w:szCs w:val="24"/>
        </w:rPr>
        <w:t>（2）需要提供的支撑材料：</w:t>
      </w:r>
    </w:p>
    <w:p>
      <w:pPr>
        <w:pStyle w:val="71"/>
        <w:numPr>
          <w:ilvl w:val="0"/>
          <w:numId w:val="27"/>
        </w:numPr>
        <w:spacing w:line="360" w:lineRule="auto"/>
        <w:ind w:left="1276" w:hanging="425"/>
        <w:rPr>
          <w:rFonts w:ascii="楷体" w:hAnsi="楷体" w:eastAsia="楷体"/>
          <w:lang w:eastAsia="zh-CN"/>
        </w:rPr>
      </w:pPr>
      <w:r>
        <w:rPr>
          <w:rFonts w:hint="eastAsia" w:ascii="楷体" w:hAnsi="楷体" w:eastAsia="楷体"/>
          <w:lang w:eastAsia="zh-CN"/>
        </w:rPr>
        <w:t>所有课程的教学大纲和课程目标达成情况评价报告；</w:t>
      </w:r>
    </w:p>
    <w:p>
      <w:pPr>
        <w:pStyle w:val="71"/>
        <w:numPr>
          <w:ilvl w:val="0"/>
          <w:numId w:val="27"/>
        </w:numPr>
        <w:spacing w:line="360" w:lineRule="auto"/>
        <w:ind w:left="1276" w:hanging="425"/>
        <w:rPr>
          <w:rFonts w:ascii="楷体" w:hAnsi="楷体" w:eastAsia="楷体"/>
          <w:lang w:eastAsia="zh-CN"/>
        </w:rPr>
      </w:pPr>
      <w:r>
        <w:rPr>
          <w:rFonts w:hint="eastAsia" w:ascii="楷体" w:hAnsi="楷体" w:eastAsia="楷体"/>
          <w:lang w:eastAsia="zh-CN"/>
        </w:rPr>
        <w:t>近三年，实习</w:t>
      </w:r>
      <w:r>
        <w:rPr>
          <w:rFonts w:ascii="楷体" w:hAnsi="楷体" w:eastAsia="楷体"/>
          <w:lang w:eastAsia="zh-CN"/>
        </w:rPr>
        <w:t>、实训的教学过程记录</w:t>
      </w:r>
      <w:r>
        <w:rPr>
          <w:rFonts w:hint="eastAsia" w:ascii="楷体" w:hAnsi="楷体" w:eastAsia="楷体"/>
          <w:lang w:eastAsia="zh-CN"/>
        </w:rPr>
        <w:t>文档</w:t>
      </w:r>
      <w:r>
        <w:rPr>
          <w:rFonts w:ascii="楷体" w:hAnsi="楷体" w:eastAsia="楷体"/>
          <w:lang w:eastAsia="zh-CN"/>
        </w:rPr>
        <w:t>，包括教学</w:t>
      </w:r>
      <w:r>
        <w:rPr>
          <w:rFonts w:hint="eastAsia" w:ascii="楷体" w:hAnsi="楷体" w:eastAsia="楷体"/>
          <w:lang w:eastAsia="zh-CN"/>
        </w:rPr>
        <w:t>计划安排、</w:t>
      </w:r>
      <w:r>
        <w:rPr>
          <w:rFonts w:ascii="楷体" w:hAnsi="楷体" w:eastAsia="楷体"/>
          <w:lang w:eastAsia="zh-CN"/>
        </w:rPr>
        <w:t>执行记录、成绩考核记录、学生提交的相关报告</w:t>
      </w:r>
      <w:r>
        <w:rPr>
          <w:rFonts w:hint="eastAsia" w:ascii="楷体" w:hAnsi="楷体" w:eastAsia="楷体"/>
          <w:lang w:eastAsia="zh-CN"/>
        </w:rPr>
        <w:t>等</w:t>
      </w:r>
      <w:r>
        <w:rPr>
          <w:rFonts w:ascii="楷体" w:hAnsi="楷体" w:eastAsia="楷体"/>
          <w:lang w:eastAsia="zh-CN"/>
        </w:rPr>
        <w:t>。</w:t>
      </w:r>
      <w:r>
        <w:rPr>
          <w:rFonts w:hint="eastAsia" w:ascii="楷体" w:hAnsi="楷体" w:eastAsia="楷体"/>
          <w:lang w:eastAsia="zh-CN"/>
        </w:rPr>
        <w:t>（附件中提供索引）</w:t>
      </w:r>
    </w:p>
    <w:p>
      <w:pPr>
        <w:pStyle w:val="71"/>
        <w:numPr>
          <w:ilvl w:val="0"/>
          <w:numId w:val="27"/>
        </w:numPr>
        <w:spacing w:line="360" w:lineRule="auto"/>
        <w:ind w:left="1276" w:hanging="425"/>
        <w:rPr>
          <w:rFonts w:ascii="楷体" w:hAnsi="楷体" w:eastAsia="楷体"/>
          <w:lang w:eastAsia="zh-CN"/>
        </w:rPr>
      </w:pPr>
      <w:r>
        <w:rPr>
          <w:rFonts w:hint="eastAsia" w:ascii="楷体" w:hAnsi="楷体" w:eastAsia="楷体"/>
          <w:lang w:eastAsia="zh-CN"/>
        </w:rPr>
        <w:t>近三年毕业设计（论文）清单，内容包括题目、类别、成绩、是否在企业完成、校内/外指导教师等。</w:t>
      </w:r>
    </w:p>
    <w:p>
      <w:pPr>
        <w:pStyle w:val="71"/>
        <w:numPr>
          <w:ilvl w:val="0"/>
          <w:numId w:val="27"/>
        </w:numPr>
        <w:spacing w:line="360" w:lineRule="auto"/>
        <w:ind w:left="1276" w:hanging="425"/>
        <w:rPr>
          <w:rFonts w:ascii="楷体" w:hAnsi="楷体" w:eastAsia="楷体"/>
          <w:lang w:eastAsia="zh-CN"/>
        </w:rPr>
      </w:pPr>
      <w:r>
        <w:rPr>
          <w:rFonts w:hint="eastAsia" w:ascii="楷体" w:hAnsi="楷体" w:eastAsia="楷体"/>
          <w:lang w:eastAsia="zh-CN"/>
        </w:rPr>
        <w:t>近三年行业企业专家参加毕业设计（论文）指导和考核情况清单。</w:t>
      </w:r>
    </w:p>
    <w:p>
      <w:pPr>
        <w:spacing w:before="156" w:beforeLines="50" w:line="360" w:lineRule="auto"/>
        <w:ind w:firstLine="482" w:firstLineChars="200"/>
        <w:jc w:val="left"/>
        <w:rPr>
          <w:rFonts w:ascii="黑体" w:hAnsi="黑体" w:eastAsia="黑体"/>
          <w:b/>
          <w:sz w:val="24"/>
          <w:szCs w:val="24"/>
        </w:rPr>
      </w:pPr>
      <w:r>
        <w:rPr>
          <w:rFonts w:hint="eastAsia" w:ascii="黑体" w:eastAsia="黑体"/>
          <w:b/>
          <w:sz w:val="24"/>
          <w:szCs w:val="24"/>
        </w:rPr>
        <w:t>5.4 人文社会科学类通识教育课程（至少占总学分的</w:t>
      </w:r>
      <w:r>
        <w:rPr>
          <w:rFonts w:ascii="黑体" w:eastAsia="黑体"/>
          <w:b/>
          <w:sz w:val="24"/>
          <w:szCs w:val="24"/>
        </w:rPr>
        <w:t>15%），使学生在从事工程设计时能够考虑经济、环境、法律、伦理等各种制约因素。</w:t>
      </w:r>
    </w:p>
    <w:p>
      <w:pPr>
        <w:pStyle w:val="71"/>
        <w:spacing w:line="360" w:lineRule="auto"/>
        <w:ind w:left="1109"/>
        <w:rPr>
          <w:rFonts w:ascii="楷体" w:hAnsi="楷体" w:eastAsia="楷体"/>
          <w:b/>
          <w:lang w:eastAsia="zh-CN"/>
        </w:rPr>
      </w:pPr>
      <w:r>
        <w:rPr>
          <w:rFonts w:hint="eastAsia" w:ascii="楷体" w:hAnsi="楷体" w:eastAsia="楷体"/>
          <w:b/>
          <w:lang w:eastAsia="zh-CN"/>
        </w:rPr>
        <w:t>（1）需要说明的情况：</w:t>
      </w:r>
    </w:p>
    <w:p>
      <w:pPr>
        <w:pStyle w:val="71"/>
        <w:numPr>
          <w:ilvl w:val="0"/>
          <w:numId w:val="34"/>
        </w:numPr>
        <w:spacing w:line="360" w:lineRule="auto"/>
        <w:rPr>
          <w:rFonts w:ascii="楷体" w:hAnsi="楷体" w:eastAsia="楷体"/>
          <w:lang w:eastAsia="zh-CN"/>
        </w:rPr>
      </w:pPr>
      <w:r>
        <w:rPr>
          <w:rFonts w:hint="eastAsia" w:ascii="楷体" w:hAnsi="楷体" w:eastAsia="楷体"/>
          <w:lang w:eastAsia="zh-CN"/>
        </w:rPr>
        <w:t>列出此类课程及其学分</w:t>
      </w:r>
      <w:r>
        <w:rPr>
          <w:rFonts w:ascii="楷体" w:hAnsi="楷体" w:eastAsia="楷体"/>
          <w:lang w:eastAsia="zh-CN"/>
        </w:rPr>
        <w:t>/学时</w:t>
      </w:r>
      <w:r>
        <w:rPr>
          <w:rFonts w:hint="eastAsia" w:ascii="楷体" w:hAnsi="楷体" w:eastAsia="楷体"/>
          <w:lang w:eastAsia="zh-CN"/>
        </w:rPr>
        <w:t>要求，说明此类课程总学分比例的达标情况，以及与专业补充标准要求的符合情况。</w:t>
      </w:r>
    </w:p>
    <w:p>
      <w:pPr>
        <w:pStyle w:val="71"/>
        <w:numPr>
          <w:ilvl w:val="0"/>
          <w:numId w:val="34"/>
        </w:numPr>
        <w:spacing w:line="360" w:lineRule="auto"/>
        <w:rPr>
          <w:rFonts w:ascii="楷体" w:hAnsi="楷体" w:eastAsia="楷体"/>
          <w:lang w:eastAsia="zh-CN"/>
        </w:rPr>
      </w:pPr>
      <w:r>
        <w:rPr>
          <w:rFonts w:hint="eastAsia" w:ascii="楷体" w:hAnsi="楷体" w:eastAsia="楷体"/>
          <w:lang w:eastAsia="zh-CN"/>
        </w:rPr>
        <w:t>保证学生修满此类课程的要求及措施。</w:t>
      </w:r>
    </w:p>
    <w:p>
      <w:pPr>
        <w:pStyle w:val="71"/>
        <w:numPr>
          <w:ilvl w:val="0"/>
          <w:numId w:val="29"/>
        </w:numPr>
        <w:spacing w:line="360" w:lineRule="auto"/>
        <w:rPr>
          <w:rFonts w:ascii="楷体" w:hAnsi="楷体" w:eastAsia="楷体"/>
          <w:lang w:eastAsia="zh-CN"/>
        </w:rPr>
      </w:pPr>
      <w:r>
        <w:rPr>
          <w:rFonts w:hint="eastAsia" w:ascii="楷体" w:hAnsi="楷体" w:eastAsia="楷体"/>
          <w:lang w:eastAsia="zh-CN"/>
        </w:rPr>
        <w:t>说明此类课程的设置，如何帮助学生理解和运用经济、环境、法律、伦理等相关知识。</w:t>
      </w:r>
    </w:p>
    <w:p>
      <w:pPr>
        <w:pStyle w:val="71"/>
        <w:spacing w:line="360" w:lineRule="auto"/>
        <w:ind w:left="1109"/>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29"/>
        </w:numPr>
        <w:spacing w:line="360" w:lineRule="auto"/>
        <w:rPr>
          <w:rFonts w:ascii="楷体" w:hAnsi="楷体" w:eastAsia="楷体"/>
          <w:lang w:eastAsia="zh-CN"/>
        </w:rPr>
      </w:pPr>
      <w:r>
        <w:rPr>
          <w:rFonts w:hint="eastAsia" w:ascii="楷体" w:hAnsi="楷体" w:eastAsia="楷体"/>
          <w:lang w:eastAsia="zh-CN"/>
        </w:rPr>
        <w:t>关于学生选课的有关制度文件</w:t>
      </w:r>
    </w:p>
    <w:p>
      <w:pPr>
        <w:pStyle w:val="71"/>
        <w:numPr>
          <w:ilvl w:val="0"/>
          <w:numId w:val="29"/>
        </w:numPr>
        <w:spacing w:line="360" w:lineRule="auto"/>
        <w:rPr>
          <w:rFonts w:ascii="楷体" w:hAnsi="楷体" w:eastAsia="楷体"/>
          <w:lang w:eastAsia="zh-CN"/>
        </w:rPr>
      </w:pPr>
      <w:r>
        <w:rPr>
          <w:rFonts w:hint="eastAsia" w:ascii="楷体" w:hAnsi="楷体" w:eastAsia="楷体"/>
          <w:lang w:eastAsia="zh-CN"/>
        </w:rPr>
        <w:t>用于评价毕业要求达成情况的相关课程的教学大纲、教案、考核资料和课程目标评价报告（附件中提供索引备查）</w:t>
      </w:r>
    </w:p>
    <w:p>
      <w:pPr>
        <w:spacing w:line="360" w:lineRule="auto"/>
        <w:rPr>
          <w:rFonts w:ascii="楷体" w:hAnsi="楷体" w:eastAsia="楷体"/>
        </w:rPr>
      </w:pPr>
    </w:p>
    <w:p>
      <w:pPr>
        <w:pStyle w:val="65"/>
        <w:spacing w:line="360" w:lineRule="auto"/>
        <w:ind w:firstLine="0" w:firstLineChars="0"/>
        <w:jc w:val="left"/>
        <w:rPr>
          <w:rFonts w:ascii="黑体" w:hAnsi="黑体" w:eastAsia="黑体"/>
          <w:sz w:val="28"/>
          <w:szCs w:val="28"/>
        </w:rPr>
      </w:pPr>
      <w:r>
        <w:rPr>
          <w:rFonts w:hint="eastAsia" w:ascii="黑体" w:hAnsi="黑体" w:eastAsia="黑体"/>
          <w:sz w:val="28"/>
          <w:szCs w:val="28"/>
        </w:rPr>
        <w:t>6 师资队伍</w:t>
      </w:r>
    </w:p>
    <w:p>
      <w:pPr>
        <w:spacing w:line="360" w:lineRule="auto"/>
        <w:ind w:firstLine="361" w:firstLineChars="150"/>
        <w:jc w:val="left"/>
        <w:rPr>
          <w:rFonts w:ascii="黑体" w:hAnsi="黑体" w:eastAsia="黑体"/>
          <w:b/>
          <w:sz w:val="24"/>
          <w:szCs w:val="24"/>
        </w:rPr>
      </w:pPr>
      <w:r>
        <w:rPr>
          <w:rFonts w:hint="eastAsia" w:ascii="黑体" w:eastAsia="黑体"/>
          <w:b/>
          <w:sz w:val="24"/>
          <w:szCs w:val="24"/>
        </w:rPr>
        <w:t>6.1教师数量能满足教学需要，结构合理，并有企业或行业专家作为兼职教师。</w:t>
      </w:r>
    </w:p>
    <w:p>
      <w:pPr>
        <w:pStyle w:val="71"/>
        <w:spacing w:line="360" w:lineRule="auto"/>
        <w:ind w:left="-46" w:leftChars="-22" w:firstLine="723" w:firstLineChars="300"/>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35"/>
        </w:numPr>
        <w:spacing w:line="360" w:lineRule="auto"/>
        <w:rPr>
          <w:rFonts w:ascii="楷体" w:hAnsi="楷体" w:eastAsia="楷体"/>
          <w:lang w:eastAsia="zh-CN"/>
        </w:rPr>
      </w:pPr>
      <w:r>
        <w:rPr>
          <w:rFonts w:hint="eastAsia" w:ascii="楷体" w:hAnsi="楷体" w:eastAsia="楷体"/>
          <w:lang w:eastAsia="zh-CN"/>
        </w:rPr>
        <w:t>专职教师队伍（包括专职实验教师）</w:t>
      </w:r>
      <w:r>
        <w:rPr>
          <w:rFonts w:ascii="楷体" w:hAnsi="楷体" w:eastAsia="楷体"/>
          <w:lang w:eastAsia="zh-CN"/>
        </w:rPr>
        <w:t>的数量、</w:t>
      </w:r>
      <w:r>
        <w:rPr>
          <w:rFonts w:hint="eastAsia" w:ascii="楷体" w:hAnsi="楷体" w:eastAsia="楷体"/>
          <w:lang w:eastAsia="zh-CN"/>
        </w:rPr>
        <w:t>职称结构、年龄结构、学历结构、学缘结构等。</w:t>
      </w:r>
    </w:p>
    <w:p>
      <w:pPr>
        <w:pStyle w:val="71"/>
        <w:numPr>
          <w:ilvl w:val="0"/>
          <w:numId w:val="35"/>
        </w:numPr>
        <w:spacing w:line="360" w:lineRule="auto"/>
        <w:rPr>
          <w:rFonts w:ascii="楷体" w:hAnsi="楷体" w:eastAsia="楷体"/>
          <w:lang w:eastAsia="zh-CN"/>
        </w:rPr>
      </w:pPr>
      <w:r>
        <w:rPr>
          <w:rFonts w:hint="eastAsia" w:ascii="楷体" w:hAnsi="楷体" w:eastAsia="楷体"/>
          <w:lang w:eastAsia="zh-CN"/>
        </w:rPr>
        <w:t>来自企业、行业兼职</w:t>
      </w:r>
      <w:r>
        <w:rPr>
          <w:rFonts w:ascii="楷体" w:hAnsi="楷体" w:eastAsia="楷体"/>
          <w:lang w:eastAsia="zh-CN"/>
        </w:rPr>
        <w:t>教师</w:t>
      </w:r>
      <w:r>
        <w:rPr>
          <w:rFonts w:hint="eastAsia" w:ascii="楷体" w:hAnsi="楷体" w:eastAsia="楷体"/>
          <w:lang w:eastAsia="zh-CN"/>
        </w:rPr>
        <w:t>的情况，承担的教学任务、与教学有关的其他工作。</w:t>
      </w:r>
    </w:p>
    <w:p>
      <w:pPr>
        <w:pStyle w:val="71"/>
        <w:spacing w:line="360" w:lineRule="auto"/>
        <w:ind w:left="709" w:firstLine="140" w:firstLineChars="58"/>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36"/>
        </w:numPr>
        <w:spacing w:line="360" w:lineRule="auto"/>
        <w:rPr>
          <w:rFonts w:ascii="楷体" w:hAnsi="楷体" w:eastAsia="楷体"/>
          <w:lang w:eastAsia="zh-CN"/>
        </w:rPr>
      </w:pPr>
      <w:r>
        <w:rPr>
          <w:rFonts w:hint="eastAsia" w:ascii="楷体" w:hAnsi="楷体" w:eastAsia="楷体"/>
          <w:lang w:eastAsia="zh-CN"/>
        </w:rPr>
        <w:t>教师名单，包括教师的个人信息和承担教学任务情况</w:t>
      </w:r>
    </w:p>
    <w:p>
      <w:pPr>
        <w:pStyle w:val="71"/>
        <w:numPr>
          <w:ilvl w:val="0"/>
          <w:numId w:val="36"/>
        </w:numPr>
        <w:spacing w:line="360" w:lineRule="auto"/>
        <w:rPr>
          <w:rFonts w:ascii="楷体" w:hAnsi="楷体" w:eastAsia="楷体"/>
          <w:lang w:eastAsia="zh-CN"/>
        </w:rPr>
      </w:pPr>
      <w:r>
        <w:rPr>
          <w:rFonts w:hint="eastAsia" w:ascii="楷体" w:hAnsi="楷体" w:eastAsia="楷体"/>
          <w:lang w:eastAsia="zh-CN"/>
        </w:rPr>
        <w:t>企业行业兼职教师名单，包括教师的个人信息和承担教学任务情况</w:t>
      </w:r>
    </w:p>
    <w:p>
      <w:pPr>
        <w:jc w:val="left"/>
        <w:rPr>
          <w:rFonts w:ascii="黑体" w:hAnsi="黑体" w:eastAsia="黑体"/>
          <w:sz w:val="24"/>
          <w:szCs w:val="24"/>
        </w:rPr>
      </w:pPr>
    </w:p>
    <w:p>
      <w:pPr>
        <w:spacing w:line="360" w:lineRule="auto"/>
        <w:ind w:firstLine="361" w:firstLineChars="150"/>
        <w:jc w:val="left"/>
        <w:rPr>
          <w:rFonts w:ascii="黑体" w:hAnsi="黑体" w:eastAsia="黑体"/>
          <w:b/>
          <w:sz w:val="24"/>
          <w:szCs w:val="24"/>
        </w:rPr>
      </w:pPr>
      <w:r>
        <w:rPr>
          <w:rFonts w:hint="eastAsia" w:ascii="黑体" w:eastAsia="黑体"/>
          <w:b/>
          <w:sz w:val="24"/>
          <w:szCs w:val="24"/>
        </w:rPr>
        <w:t>6.2 教师具有足够的教学能力、专业水平、工程经验、沟通能力、职业发展能力，并且能够开展工程实践问题研究，参与学术交流。教师的工程背景应能满足专业教学的需要。</w:t>
      </w:r>
    </w:p>
    <w:p>
      <w:pPr>
        <w:spacing w:line="360" w:lineRule="auto"/>
        <w:ind w:firstLine="482" w:firstLineChars="200"/>
        <w:rPr>
          <w:rFonts w:ascii="楷体" w:hAnsi="楷体" w:eastAsia="楷体"/>
          <w:b/>
          <w:sz w:val="24"/>
          <w:szCs w:val="24"/>
        </w:rPr>
      </w:pPr>
      <w:r>
        <w:rPr>
          <w:rFonts w:hint="eastAsia" w:ascii="楷体" w:hAnsi="楷体" w:eastAsia="楷体"/>
          <w:b/>
          <w:sz w:val="24"/>
          <w:szCs w:val="24"/>
        </w:rPr>
        <w:t>（1）需要说明的情况：</w:t>
      </w:r>
    </w:p>
    <w:p>
      <w:pPr>
        <w:pStyle w:val="71"/>
        <w:numPr>
          <w:ilvl w:val="0"/>
          <w:numId w:val="37"/>
        </w:numPr>
        <w:spacing w:line="360" w:lineRule="auto"/>
        <w:rPr>
          <w:rFonts w:ascii="楷体" w:hAnsi="楷体" w:eastAsia="楷体"/>
          <w:lang w:eastAsia="zh-CN"/>
        </w:rPr>
      </w:pPr>
      <w:r>
        <w:rPr>
          <w:rFonts w:hint="eastAsia" w:ascii="楷体" w:hAnsi="楷体" w:eastAsia="楷体"/>
          <w:lang w:eastAsia="zh-CN"/>
        </w:rPr>
        <w:t>专业判断教师教学能力、专业水平、沟通能力和职业发展能力的主要依据，据此对教师上述能力做出的基本判断。</w:t>
      </w:r>
    </w:p>
    <w:p>
      <w:pPr>
        <w:pStyle w:val="71"/>
        <w:numPr>
          <w:ilvl w:val="0"/>
          <w:numId w:val="37"/>
        </w:numPr>
        <w:spacing w:line="360" w:lineRule="auto"/>
        <w:rPr>
          <w:rFonts w:ascii="楷体" w:hAnsi="楷体" w:eastAsia="楷体"/>
          <w:lang w:eastAsia="zh-CN"/>
        </w:rPr>
      </w:pPr>
      <w:r>
        <w:rPr>
          <w:rFonts w:hint="eastAsia" w:ascii="楷体" w:hAnsi="楷体" w:eastAsia="楷体"/>
          <w:lang w:eastAsia="zh-CN"/>
        </w:rPr>
        <w:t>专业判断教师工程背景的主要依据，据此对师资队伍工程经验做出的基本判断。</w:t>
      </w:r>
    </w:p>
    <w:p>
      <w:pPr>
        <w:pStyle w:val="71"/>
        <w:numPr>
          <w:ilvl w:val="0"/>
          <w:numId w:val="37"/>
        </w:numPr>
        <w:spacing w:line="360" w:lineRule="auto"/>
        <w:rPr>
          <w:rFonts w:ascii="楷体" w:hAnsi="楷体" w:eastAsia="楷体"/>
          <w:lang w:eastAsia="zh-CN"/>
        </w:rPr>
      </w:pPr>
      <w:r>
        <w:rPr>
          <w:rFonts w:hint="eastAsia" w:ascii="楷体" w:hAnsi="楷体" w:eastAsia="楷体"/>
          <w:lang w:eastAsia="zh-CN"/>
        </w:rPr>
        <w:t>近三年教师开展工程实践问题研究，以及参与各类学术交流情况。</w:t>
      </w:r>
    </w:p>
    <w:p>
      <w:pPr>
        <w:pStyle w:val="71"/>
        <w:numPr>
          <w:ilvl w:val="0"/>
          <w:numId w:val="37"/>
        </w:numPr>
        <w:spacing w:line="360" w:lineRule="auto"/>
        <w:rPr>
          <w:rFonts w:ascii="楷体" w:hAnsi="楷体" w:eastAsia="楷体"/>
          <w:lang w:eastAsia="zh-CN"/>
        </w:rPr>
      </w:pPr>
      <w:r>
        <w:rPr>
          <w:rFonts w:hint="eastAsia" w:ascii="楷体" w:hAnsi="楷体" w:eastAsia="楷体"/>
          <w:lang w:eastAsia="zh-CN"/>
        </w:rPr>
        <w:t>教师专业背景、工程能力是否满足补充标准要求</w:t>
      </w:r>
    </w:p>
    <w:p>
      <w:pPr>
        <w:pStyle w:val="71"/>
        <w:spacing w:line="360" w:lineRule="auto"/>
        <w:ind w:left="567"/>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38"/>
        </w:numPr>
        <w:spacing w:line="360" w:lineRule="auto"/>
        <w:rPr>
          <w:rFonts w:ascii="楷体" w:hAnsi="楷体" w:eastAsia="楷体"/>
          <w:lang w:eastAsia="zh-CN"/>
        </w:rPr>
      </w:pPr>
      <w:r>
        <w:rPr>
          <w:rFonts w:hint="eastAsia" w:ascii="楷体" w:hAnsi="楷体" w:eastAsia="楷体"/>
          <w:lang w:eastAsia="zh-CN"/>
        </w:rPr>
        <w:t>教师</w:t>
      </w:r>
      <w:r>
        <w:rPr>
          <w:rFonts w:ascii="楷体" w:hAnsi="楷体" w:eastAsia="楷体"/>
          <w:lang w:eastAsia="zh-CN"/>
        </w:rPr>
        <w:t>能力要求</w:t>
      </w:r>
      <w:r>
        <w:rPr>
          <w:rFonts w:hint="eastAsia" w:ascii="楷体" w:hAnsi="楷体" w:eastAsia="楷体"/>
          <w:lang w:eastAsia="zh-CN"/>
        </w:rPr>
        <w:t>认定</w:t>
      </w:r>
      <w:r>
        <w:rPr>
          <w:rFonts w:ascii="楷体" w:hAnsi="楷体" w:eastAsia="楷体"/>
          <w:lang w:eastAsia="zh-CN"/>
        </w:rPr>
        <w:t>的有关规定和执行记录</w:t>
      </w:r>
    </w:p>
    <w:p>
      <w:pPr>
        <w:pStyle w:val="71"/>
        <w:numPr>
          <w:ilvl w:val="0"/>
          <w:numId w:val="38"/>
        </w:numPr>
        <w:spacing w:line="360" w:lineRule="auto"/>
        <w:rPr>
          <w:rFonts w:ascii="楷体" w:hAnsi="楷体" w:eastAsia="楷体"/>
          <w:lang w:eastAsia="zh-CN"/>
        </w:rPr>
      </w:pPr>
      <w:r>
        <w:rPr>
          <w:rFonts w:hint="eastAsia" w:ascii="楷体" w:hAnsi="楷体" w:eastAsia="楷体"/>
          <w:lang w:eastAsia="zh-CN"/>
        </w:rPr>
        <w:t>教师参与、发表或取得与标准要求相关成果的情况</w:t>
      </w:r>
    </w:p>
    <w:p>
      <w:pPr>
        <w:pStyle w:val="71"/>
        <w:numPr>
          <w:ilvl w:val="0"/>
          <w:numId w:val="38"/>
        </w:numPr>
        <w:spacing w:line="360" w:lineRule="auto"/>
        <w:rPr>
          <w:rFonts w:ascii="楷体" w:hAnsi="楷体" w:eastAsia="楷体"/>
          <w:lang w:eastAsia="zh-CN"/>
        </w:rPr>
      </w:pPr>
      <w:r>
        <w:rPr>
          <w:rFonts w:hint="eastAsia" w:ascii="楷体" w:hAnsi="楷体" w:eastAsia="楷体"/>
          <w:lang w:eastAsia="zh-CN"/>
        </w:rPr>
        <w:t>教师工程经历的</w:t>
      </w:r>
      <w:r>
        <w:rPr>
          <w:rFonts w:ascii="楷体" w:hAnsi="楷体" w:eastAsia="楷体"/>
          <w:lang w:eastAsia="zh-CN"/>
        </w:rPr>
        <w:t>证明材料</w:t>
      </w:r>
    </w:p>
    <w:p>
      <w:pPr>
        <w:ind w:firstLine="708" w:firstLineChars="295"/>
        <w:jc w:val="left"/>
        <w:rPr>
          <w:rFonts w:ascii="楷体" w:hAnsi="楷体" w:eastAsia="楷体"/>
          <w:sz w:val="24"/>
          <w:szCs w:val="24"/>
        </w:rPr>
      </w:pPr>
    </w:p>
    <w:p>
      <w:pPr>
        <w:spacing w:line="360" w:lineRule="auto"/>
        <w:jc w:val="left"/>
        <w:rPr>
          <w:rFonts w:ascii="黑体" w:hAnsi="黑体" w:eastAsia="黑体"/>
          <w:b/>
          <w:sz w:val="24"/>
          <w:szCs w:val="24"/>
        </w:rPr>
      </w:pPr>
      <w:r>
        <w:rPr>
          <w:rFonts w:hint="eastAsia" w:ascii="黑体" w:eastAsia="黑体"/>
          <w:b/>
          <w:sz w:val="24"/>
          <w:szCs w:val="24"/>
        </w:rPr>
        <w:t xml:space="preserve">    6.3 教师有足够时间和精力投入到本科教学和学生指导中，并积极参与教学研究与改革。</w:t>
      </w:r>
    </w:p>
    <w:p>
      <w:pPr>
        <w:pStyle w:val="71"/>
        <w:spacing w:line="360" w:lineRule="auto"/>
        <w:ind w:left="-36" w:leftChars="-17" w:firstLine="602" w:firstLineChars="250"/>
        <w:rPr>
          <w:rFonts w:ascii="楷体" w:hAnsi="楷体" w:eastAsia="楷体"/>
          <w:b/>
          <w:lang w:eastAsia="zh-CN"/>
        </w:rPr>
      </w:pPr>
      <w:r>
        <w:rPr>
          <w:rFonts w:hint="eastAsia" w:ascii="楷体" w:hAnsi="楷体" w:eastAsia="楷体"/>
          <w:b/>
          <w:lang w:eastAsia="zh-CN"/>
        </w:rPr>
        <w:t>（1）需要说明的情况：</w:t>
      </w:r>
    </w:p>
    <w:p>
      <w:pPr>
        <w:pStyle w:val="71"/>
        <w:numPr>
          <w:ilvl w:val="0"/>
          <w:numId w:val="39"/>
        </w:numPr>
        <w:spacing w:line="360" w:lineRule="auto"/>
        <w:rPr>
          <w:rFonts w:ascii="楷体" w:hAnsi="楷体" w:eastAsia="楷体"/>
          <w:lang w:eastAsia="zh-CN"/>
        </w:rPr>
      </w:pPr>
      <w:r>
        <w:rPr>
          <w:rFonts w:hint="eastAsia" w:ascii="楷体" w:hAnsi="楷体" w:eastAsia="楷体"/>
          <w:lang w:eastAsia="zh-CN"/>
        </w:rPr>
        <w:t>保证教师时间和精力投入本科教学和学生指导的制度和措施。</w:t>
      </w:r>
    </w:p>
    <w:p>
      <w:pPr>
        <w:pStyle w:val="71"/>
        <w:numPr>
          <w:ilvl w:val="0"/>
          <w:numId w:val="39"/>
        </w:numPr>
        <w:spacing w:line="360" w:lineRule="auto"/>
        <w:rPr>
          <w:rFonts w:ascii="楷体" w:hAnsi="楷体" w:eastAsia="楷体"/>
          <w:lang w:eastAsia="zh-CN"/>
        </w:rPr>
      </w:pPr>
      <w:r>
        <w:rPr>
          <w:rFonts w:hint="eastAsia" w:ascii="楷体" w:hAnsi="楷体" w:eastAsia="楷体"/>
          <w:lang w:eastAsia="zh-CN"/>
        </w:rPr>
        <w:t>列表说明近三年教师在本科教学和学生指导方面的投入情况。</w:t>
      </w:r>
    </w:p>
    <w:p>
      <w:pPr>
        <w:pStyle w:val="71"/>
        <w:numPr>
          <w:ilvl w:val="0"/>
          <w:numId w:val="39"/>
        </w:numPr>
        <w:spacing w:line="360" w:lineRule="auto"/>
        <w:rPr>
          <w:rFonts w:ascii="楷体" w:hAnsi="楷体" w:eastAsia="楷体"/>
          <w:lang w:eastAsia="zh-CN"/>
        </w:rPr>
      </w:pPr>
      <w:r>
        <w:rPr>
          <w:rFonts w:hint="eastAsia" w:ascii="楷体" w:hAnsi="楷体" w:eastAsia="楷体"/>
          <w:lang w:eastAsia="zh-CN"/>
        </w:rPr>
        <w:t>鼓励教师在教学工作中坚持立德树人，积极参与教学研究和改革的制度和措施。</w:t>
      </w:r>
    </w:p>
    <w:p>
      <w:pPr>
        <w:pStyle w:val="71"/>
        <w:numPr>
          <w:ilvl w:val="0"/>
          <w:numId w:val="39"/>
        </w:numPr>
        <w:spacing w:line="360" w:lineRule="auto"/>
        <w:rPr>
          <w:rFonts w:ascii="楷体" w:hAnsi="楷体" w:eastAsia="楷体"/>
          <w:lang w:eastAsia="zh-CN"/>
        </w:rPr>
      </w:pPr>
      <w:r>
        <w:rPr>
          <w:rFonts w:hint="eastAsia" w:ascii="楷体" w:hAnsi="楷体" w:eastAsia="楷体"/>
          <w:lang w:eastAsia="zh-CN"/>
        </w:rPr>
        <w:t>近三年教师在学生培养、教学研究和改革方面取得的成果。</w:t>
      </w:r>
    </w:p>
    <w:p>
      <w:pPr>
        <w:pStyle w:val="71"/>
        <w:spacing w:line="360" w:lineRule="auto"/>
        <w:ind w:left="567"/>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40"/>
        </w:numPr>
        <w:spacing w:line="360" w:lineRule="auto"/>
        <w:rPr>
          <w:rFonts w:ascii="楷体" w:hAnsi="楷体" w:eastAsia="楷体"/>
          <w:lang w:eastAsia="zh-CN"/>
        </w:rPr>
      </w:pPr>
      <w:r>
        <w:rPr>
          <w:rFonts w:hint="eastAsia" w:ascii="楷体" w:hAnsi="楷体" w:eastAsia="楷体"/>
          <w:lang w:eastAsia="zh-CN"/>
        </w:rPr>
        <w:t>相关制度文件</w:t>
      </w:r>
    </w:p>
    <w:p>
      <w:pPr>
        <w:pStyle w:val="71"/>
        <w:numPr>
          <w:ilvl w:val="0"/>
          <w:numId w:val="40"/>
        </w:numPr>
        <w:spacing w:line="360" w:lineRule="auto"/>
        <w:rPr>
          <w:rFonts w:ascii="楷体" w:hAnsi="楷体" w:eastAsia="楷体"/>
          <w:lang w:eastAsia="zh-CN"/>
        </w:rPr>
      </w:pPr>
      <w:r>
        <w:rPr>
          <w:rFonts w:hint="eastAsia" w:ascii="楷体" w:hAnsi="楷体" w:eastAsia="楷体"/>
          <w:lang w:eastAsia="zh-CN"/>
        </w:rPr>
        <w:t>相关项目和成果的证据材料（在附件中提供索引）</w:t>
      </w:r>
    </w:p>
    <w:p>
      <w:pPr>
        <w:jc w:val="left"/>
        <w:rPr>
          <w:rFonts w:ascii="黑体" w:hAnsi="黑体" w:eastAsia="黑体"/>
          <w:sz w:val="24"/>
          <w:szCs w:val="24"/>
        </w:rPr>
      </w:pPr>
    </w:p>
    <w:p>
      <w:pPr>
        <w:spacing w:line="360" w:lineRule="auto"/>
        <w:ind w:firstLine="482" w:firstLineChars="200"/>
        <w:jc w:val="left"/>
        <w:rPr>
          <w:rFonts w:ascii="黑体" w:hAnsi="黑体" w:eastAsia="黑体"/>
          <w:b/>
          <w:sz w:val="24"/>
          <w:szCs w:val="24"/>
        </w:rPr>
      </w:pPr>
      <w:r>
        <w:rPr>
          <w:rFonts w:hint="eastAsia" w:ascii="黑体" w:eastAsia="黑体"/>
          <w:b/>
          <w:sz w:val="24"/>
          <w:szCs w:val="24"/>
        </w:rPr>
        <w:t>6.4教师为学生提供指导、咨询、服务，并对学生职业生涯规划、职业从业教育有足够的指导。</w:t>
      </w:r>
    </w:p>
    <w:p>
      <w:pPr>
        <w:pStyle w:val="71"/>
        <w:spacing w:line="360" w:lineRule="auto"/>
        <w:ind w:left="-36" w:leftChars="-17" w:firstLine="602" w:firstLineChars="250"/>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41"/>
        </w:numPr>
        <w:spacing w:line="360" w:lineRule="auto"/>
        <w:rPr>
          <w:rFonts w:ascii="楷体" w:hAnsi="楷体" w:eastAsia="楷体"/>
          <w:lang w:eastAsia="zh-CN"/>
        </w:rPr>
      </w:pPr>
      <w:r>
        <w:rPr>
          <w:rFonts w:hint="eastAsia" w:ascii="楷体" w:hAnsi="楷体" w:eastAsia="楷体"/>
          <w:lang w:eastAsia="zh-CN"/>
        </w:rPr>
        <w:t>保证教师为学生提供各类指导的制度要求和措施，包括对学生的思想引领，社会主义核心价值观教育等；</w:t>
      </w:r>
    </w:p>
    <w:p>
      <w:pPr>
        <w:pStyle w:val="71"/>
        <w:numPr>
          <w:ilvl w:val="0"/>
          <w:numId w:val="41"/>
        </w:numPr>
        <w:spacing w:line="360" w:lineRule="auto"/>
        <w:rPr>
          <w:rFonts w:ascii="楷体" w:hAnsi="楷体" w:eastAsia="楷体"/>
          <w:lang w:eastAsia="zh-CN"/>
        </w:rPr>
      </w:pPr>
      <w:r>
        <w:rPr>
          <w:rFonts w:hint="eastAsia" w:ascii="楷体" w:hAnsi="楷体" w:eastAsia="楷体"/>
          <w:lang w:eastAsia="zh-CN"/>
        </w:rPr>
        <w:t>列表说明教师除课程教学外，为学生提供的各类指导、咨询和服务工作。</w:t>
      </w:r>
    </w:p>
    <w:p>
      <w:pPr>
        <w:pStyle w:val="71"/>
        <w:spacing w:line="360" w:lineRule="auto"/>
        <w:ind w:left="567"/>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42"/>
        </w:numPr>
        <w:spacing w:line="360" w:lineRule="auto"/>
        <w:rPr>
          <w:rFonts w:ascii="楷体" w:hAnsi="楷体" w:eastAsia="楷体"/>
          <w:lang w:eastAsia="zh-CN"/>
        </w:rPr>
      </w:pPr>
      <w:r>
        <w:rPr>
          <w:rFonts w:hint="eastAsia" w:ascii="楷体" w:hAnsi="楷体" w:eastAsia="楷体"/>
          <w:lang w:eastAsia="zh-CN"/>
        </w:rPr>
        <w:t>相关制度文件</w:t>
      </w:r>
    </w:p>
    <w:p>
      <w:pPr>
        <w:pStyle w:val="71"/>
        <w:numPr>
          <w:ilvl w:val="0"/>
          <w:numId w:val="42"/>
        </w:numPr>
        <w:spacing w:line="360" w:lineRule="auto"/>
        <w:rPr>
          <w:rFonts w:ascii="楷体" w:hAnsi="楷体" w:eastAsia="楷体"/>
          <w:lang w:eastAsia="zh-CN"/>
        </w:rPr>
      </w:pPr>
      <w:r>
        <w:rPr>
          <w:rFonts w:hint="eastAsia" w:ascii="楷体" w:hAnsi="楷体" w:eastAsia="楷体"/>
          <w:lang w:eastAsia="zh-CN"/>
        </w:rPr>
        <w:t>指导工作的原始记录（附件中提供材料索引）</w:t>
      </w:r>
    </w:p>
    <w:p>
      <w:pPr>
        <w:spacing w:before="156" w:beforeLines="50"/>
        <w:ind w:firstLine="708" w:firstLineChars="295"/>
        <w:jc w:val="left"/>
        <w:rPr>
          <w:rFonts w:ascii="楷体" w:hAnsi="楷体" w:eastAsia="楷体"/>
          <w:sz w:val="24"/>
          <w:szCs w:val="24"/>
        </w:rPr>
      </w:pPr>
    </w:p>
    <w:p>
      <w:pPr>
        <w:spacing w:line="360" w:lineRule="auto"/>
        <w:ind w:firstLine="482" w:firstLineChars="200"/>
        <w:jc w:val="left"/>
        <w:rPr>
          <w:rFonts w:ascii="黑体" w:hAnsi="黑体" w:eastAsia="黑体"/>
          <w:b/>
          <w:sz w:val="24"/>
          <w:szCs w:val="24"/>
        </w:rPr>
      </w:pPr>
      <w:r>
        <w:rPr>
          <w:rFonts w:hint="eastAsia" w:ascii="黑体" w:eastAsia="黑体"/>
          <w:b/>
          <w:sz w:val="24"/>
          <w:szCs w:val="24"/>
        </w:rPr>
        <w:t>6.5教师明确他们在教学质量提升过程中的责任，不断改进工作。</w:t>
      </w:r>
    </w:p>
    <w:p>
      <w:pPr>
        <w:pStyle w:val="71"/>
        <w:spacing w:line="360" w:lineRule="auto"/>
        <w:ind w:left="709"/>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43"/>
        </w:numPr>
        <w:spacing w:line="360" w:lineRule="auto"/>
        <w:rPr>
          <w:rFonts w:ascii="楷体" w:hAnsi="楷体" w:eastAsia="楷体"/>
          <w:lang w:eastAsia="zh-CN"/>
        </w:rPr>
      </w:pPr>
      <w:r>
        <w:rPr>
          <w:rFonts w:hint="eastAsia" w:ascii="楷体" w:hAnsi="楷体" w:eastAsia="楷体"/>
          <w:lang w:eastAsia="zh-CN"/>
        </w:rPr>
        <w:t>要求教师</w:t>
      </w:r>
      <w:r>
        <w:rPr>
          <w:rFonts w:hint="eastAsia" w:ascii="楷体" w:hAnsi="楷体" w:eastAsia="楷体"/>
          <w:color w:val="000000"/>
          <w:lang w:eastAsia="zh-CN"/>
        </w:rPr>
        <w:t>以德立身、以德立学、以德施教，树立良好教风的制度和措施</w:t>
      </w:r>
      <w:r>
        <w:rPr>
          <w:rFonts w:hint="eastAsia" w:ascii="仿宋" w:hAnsi="仿宋" w:eastAsia="仿宋"/>
          <w:color w:val="000000"/>
          <w:lang w:eastAsia="zh-CN"/>
        </w:rPr>
        <w:t>；</w:t>
      </w:r>
    </w:p>
    <w:p>
      <w:pPr>
        <w:pStyle w:val="71"/>
        <w:numPr>
          <w:ilvl w:val="0"/>
          <w:numId w:val="43"/>
        </w:numPr>
        <w:snapToGrid w:val="0"/>
        <w:spacing w:line="360" w:lineRule="auto"/>
        <w:ind w:hanging="395"/>
        <w:rPr>
          <w:rFonts w:ascii="楷体" w:hAnsi="楷体" w:eastAsia="楷体"/>
          <w:lang w:eastAsia="zh-CN"/>
        </w:rPr>
      </w:pPr>
      <w:r>
        <w:rPr>
          <w:rFonts w:hint="eastAsia" w:ascii="楷体" w:hAnsi="楷体" w:eastAsia="楷体"/>
          <w:lang w:eastAsia="zh-CN"/>
        </w:rPr>
        <w:t>学校或专业明确教师在教学质量提升中的责任，促进教师不断改进教学工作的制度和措施，以及专业教师的履职情况</w:t>
      </w:r>
      <w:r>
        <w:rPr>
          <w:rFonts w:hint="eastAsia" w:ascii="楷体" w:hAnsi="楷体" w:eastAsia="楷体"/>
          <w:bCs/>
          <w:color w:val="000000"/>
          <w:lang w:eastAsia="zh-CN"/>
        </w:rPr>
        <w:t>。</w:t>
      </w:r>
    </w:p>
    <w:p>
      <w:pPr>
        <w:pStyle w:val="71"/>
        <w:numPr>
          <w:ilvl w:val="0"/>
          <w:numId w:val="43"/>
        </w:numPr>
        <w:spacing w:line="360" w:lineRule="auto"/>
        <w:rPr>
          <w:rFonts w:ascii="楷体" w:hAnsi="楷体" w:eastAsia="楷体"/>
          <w:lang w:eastAsia="zh-CN"/>
        </w:rPr>
      </w:pPr>
      <w:r>
        <w:rPr>
          <w:rFonts w:hint="eastAsia" w:ascii="楷体" w:hAnsi="楷体" w:eastAsia="楷体"/>
          <w:lang w:eastAsia="zh-CN"/>
        </w:rPr>
        <w:t>督促教师履行职责主要措施，对教学质量问题的问责机制及执行</w:t>
      </w:r>
      <w:r>
        <w:rPr>
          <w:rFonts w:ascii="楷体" w:hAnsi="楷体" w:eastAsia="楷体"/>
          <w:lang w:eastAsia="zh-CN"/>
        </w:rPr>
        <w:t>情况</w:t>
      </w:r>
      <w:r>
        <w:rPr>
          <w:rFonts w:hint="eastAsia" w:ascii="楷体" w:hAnsi="楷体" w:eastAsia="楷体"/>
          <w:lang w:eastAsia="zh-CN"/>
        </w:rPr>
        <w:t>。</w:t>
      </w:r>
    </w:p>
    <w:p>
      <w:pPr>
        <w:pStyle w:val="71"/>
        <w:spacing w:line="360" w:lineRule="auto"/>
        <w:ind w:left="709" w:firstLine="140" w:firstLineChars="58"/>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44"/>
        </w:numPr>
        <w:spacing w:line="360" w:lineRule="auto"/>
        <w:rPr>
          <w:rFonts w:ascii="楷体" w:hAnsi="楷体" w:eastAsia="楷体"/>
          <w:lang w:eastAsia="zh-CN"/>
        </w:rPr>
      </w:pPr>
      <w:r>
        <w:rPr>
          <w:rFonts w:hint="eastAsia" w:ascii="楷体" w:hAnsi="楷体" w:eastAsia="楷体"/>
          <w:lang w:eastAsia="zh-CN"/>
        </w:rPr>
        <w:t>相关制度文件</w:t>
      </w:r>
    </w:p>
    <w:p>
      <w:pPr>
        <w:pStyle w:val="71"/>
        <w:numPr>
          <w:ilvl w:val="0"/>
          <w:numId w:val="44"/>
        </w:numPr>
        <w:spacing w:line="360" w:lineRule="auto"/>
        <w:rPr>
          <w:rFonts w:ascii="楷体" w:hAnsi="楷体" w:eastAsia="楷体"/>
          <w:lang w:eastAsia="zh-CN"/>
        </w:rPr>
      </w:pPr>
      <w:r>
        <w:rPr>
          <w:rFonts w:hint="eastAsia" w:ascii="楷体" w:hAnsi="楷体" w:eastAsia="楷体"/>
          <w:lang w:eastAsia="zh-CN"/>
        </w:rPr>
        <w:t>教师履职情况的相关原始记录（附件中提供材料索引）</w:t>
      </w:r>
    </w:p>
    <w:p>
      <w:pPr>
        <w:ind w:firstLine="531" w:firstLineChars="295"/>
        <w:jc w:val="left"/>
        <w:rPr>
          <w:rFonts w:ascii="宋体" w:hAnsi="宋体"/>
          <w:sz w:val="18"/>
          <w:szCs w:val="18"/>
        </w:rPr>
      </w:pPr>
    </w:p>
    <w:p>
      <w:pPr>
        <w:pStyle w:val="65"/>
        <w:tabs>
          <w:tab w:val="left" w:pos="5103"/>
        </w:tabs>
        <w:spacing w:line="360" w:lineRule="auto"/>
        <w:ind w:firstLine="0" w:firstLineChars="0"/>
        <w:jc w:val="left"/>
        <w:rPr>
          <w:rFonts w:ascii="黑体" w:eastAsia="黑体"/>
          <w:sz w:val="28"/>
          <w:szCs w:val="28"/>
        </w:rPr>
      </w:pPr>
      <w:r>
        <w:rPr>
          <w:rFonts w:hint="eastAsia" w:ascii="黑体" w:eastAsia="黑体"/>
          <w:sz w:val="28"/>
          <w:szCs w:val="28"/>
        </w:rPr>
        <w:t>7 支持条件</w:t>
      </w:r>
    </w:p>
    <w:p>
      <w:pPr>
        <w:spacing w:line="360" w:lineRule="auto"/>
        <w:ind w:firstLine="482" w:firstLineChars="200"/>
        <w:jc w:val="left"/>
        <w:rPr>
          <w:rFonts w:ascii="黑体" w:hAnsi="黑体" w:eastAsia="黑体"/>
          <w:b/>
          <w:sz w:val="24"/>
          <w:szCs w:val="24"/>
        </w:rPr>
      </w:pPr>
      <w:r>
        <w:rPr>
          <w:rFonts w:hint="eastAsia" w:ascii="黑体" w:eastAsia="黑体"/>
          <w:b/>
          <w:sz w:val="24"/>
          <w:szCs w:val="24"/>
        </w:rPr>
        <w:t>7.1教室、实验室及设备在数量和功能上满足教学需要。有良好的管理、维护和更新机制，使得学生能够方便地使用。与企业合作共建实习和实训基地，在教学过程中为学生提供参与工程实践的平台。</w:t>
      </w:r>
    </w:p>
    <w:p>
      <w:pPr>
        <w:pStyle w:val="71"/>
        <w:spacing w:line="360" w:lineRule="auto"/>
        <w:ind w:left="709"/>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45"/>
        </w:numPr>
        <w:spacing w:line="360" w:lineRule="auto"/>
        <w:rPr>
          <w:rFonts w:ascii="楷体" w:hAnsi="楷体" w:eastAsia="楷体"/>
          <w:lang w:eastAsia="zh-CN"/>
        </w:rPr>
      </w:pPr>
      <w:r>
        <w:rPr>
          <w:rFonts w:hint="eastAsia" w:ascii="楷体" w:hAnsi="楷体" w:eastAsia="楷体"/>
          <w:lang w:eastAsia="zh-CN"/>
        </w:rPr>
        <w:t>列表说明实验室及设备在数量和功能上能否满足教学需要，</w:t>
      </w:r>
      <w:r>
        <w:rPr>
          <w:rFonts w:ascii="楷体" w:hAnsi="楷体" w:eastAsia="楷体"/>
          <w:lang w:eastAsia="zh-CN"/>
        </w:rPr>
        <w:t>包括</w:t>
      </w:r>
      <w:r>
        <w:rPr>
          <w:rFonts w:hint="eastAsia" w:ascii="楷体" w:hAnsi="楷体" w:eastAsia="楷体"/>
          <w:lang w:eastAsia="zh-CN"/>
        </w:rPr>
        <w:t>各类</w:t>
      </w:r>
      <w:r>
        <w:rPr>
          <w:rFonts w:ascii="楷体" w:hAnsi="楷体" w:eastAsia="楷体"/>
          <w:lang w:eastAsia="zh-CN"/>
        </w:rPr>
        <w:t>学生实验的</w:t>
      </w:r>
      <w:r>
        <w:rPr>
          <w:rFonts w:hint="eastAsia" w:ascii="楷体" w:hAnsi="楷体" w:eastAsia="楷体"/>
          <w:lang w:eastAsia="zh-CN"/>
        </w:rPr>
        <w:t>安排和</w:t>
      </w:r>
      <w:r>
        <w:rPr>
          <w:rFonts w:ascii="楷体" w:hAnsi="楷体" w:eastAsia="楷体"/>
          <w:lang w:eastAsia="zh-CN"/>
        </w:rPr>
        <w:t>分组情况</w:t>
      </w:r>
      <w:r>
        <w:rPr>
          <w:rFonts w:hint="eastAsia" w:ascii="楷体" w:hAnsi="楷体" w:eastAsia="楷体"/>
          <w:lang w:eastAsia="zh-CN"/>
        </w:rPr>
        <w:t>。</w:t>
      </w:r>
    </w:p>
    <w:p>
      <w:pPr>
        <w:pStyle w:val="71"/>
        <w:numPr>
          <w:ilvl w:val="0"/>
          <w:numId w:val="45"/>
        </w:numPr>
        <w:spacing w:line="360" w:lineRule="auto"/>
        <w:rPr>
          <w:rFonts w:ascii="楷体" w:hAnsi="楷体" w:eastAsia="楷体"/>
          <w:lang w:eastAsia="zh-CN"/>
        </w:rPr>
      </w:pPr>
      <w:r>
        <w:rPr>
          <w:rFonts w:hint="eastAsia" w:ascii="楷体" w:hAnsi="楷体" w:eastAsia="楷体"/>
          <w:lang w:eastAsia="zh-CN"/>
        </w:rPr>
        <w:t>教室、实验室设备的更新、维护、安全和开放管理的制度、措施和执行情况。</w:t>
      </w:r>
    </w:p>
    <w:p>
      <w:pPr>
        <w:pStyle w:val="71"/>
        <w:numPr>
          <w:ilvl w:val="0"/>
          <w:numId w:val="45"/>
        </w:numPr>
        <w:spacing w:line="360" w:lineRule="auto"/>
        <w:rPr>
          <w:rFonts w:ascii="楷体" w:hAnsi="楷体" w:eastAsia="楷体"/>
          <w:lang w:eastAsia="zh-CN"/>
        </w:rPr>
      </w:pPr>
      <w:r>
        <w:rPr>
          <w:rFonts w:hint="eastAsia" w:ascii="楷体" w:hAnsi="楷体" w:eastAsia="楷体"/>
          <w:lang w:eastAsia="zh-CN"/>
        </w:rPr>
        <w:t>列表说明近三年用于实习/实训的主要校外基地能否满足本专业学生工程实践的要求（包括企业性质、实习实训条件、企业指导教师配置、教学任务等）。</w:t>
      </w:r>
    </w:p>
    <w:p>
      <w:pPr>
        <w:pStyle w:val="71"/>
        <w:spacing w:line="360" w:lineRule="auto"/>
        <w:ind w:left="709"/>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46"/>
        </w:numPr>
        <w:spacing w:line="360" w:lineRule="auto"/>
        <w:rPr>
          <w:rFonts w:ascii="楷体" w:hAnsi="楷体" w:eastAsia="楷体"/>
          <w:lang w:eastAsia="zh-CN"/>
        </w:rPr>
      </w:pPr>
      <w:r>
        <w:rPr>
          <w:rFonts w:hint="eastAsia" w:ascii="楷体" w:hAnsi="楷体" w:eastAsia="楷体"/>
          <w:lang w:eastAsia="zh-CN"/>
        </w:rPr>
        <w:t>相关制度和措施</w:t>
      </w:r>
    </w:p>
    <w:p>
      <w:pPr>
        <w:pStyle w:val="71"/>
        <w:numPr>
          <w:ilvl w:val="0"/>
          <w:numId w:val="46"/>
        </w:numPr>
        <w:spacing w:line="360" w:lineRule="auto"/>
        <w:rPr>
          <w:rFonts w:ascii="楷体" w:hAnsi="楷体" w:eastAsia="楷体"/>
          <w:lang w:eastAsia="zh-CN"/>
        </w:rPr>
      </w:pPr>
      <w:r>
        <w:rPr>
          <w:rFonts w:hint="eastAsia" w:ascii="楷体" w:hAnsi="楷体" w:eastAsia="楷体"/>
          <w:lang w:eastAsia="zh-CN"/>
        </w:rPr>
        <w:t>与专业相关的实验室及设备清单和所承担的教学任务</w:t>
      </w:r>
    </w:p>
    <w:p>
      <w:pPr>
        <w:pStyle w:val="71"/>
        <w:numPr>
          <w:ilvl w:val="0"/>
          <w:numId w:val="46"/>
        </w:numPr>
        <w:spacing w:line="360" w:lineRule="auto"/>
        <w:rPr>
          <w:rFonts w:ascii="楷体" w:hAnsi="楷体" w:eastAsia="楷体"/>
          <w:lang w:eastAsia="zh-CN"/>
        </w:rPr>
      </w:pPr>
      <w:r>
        <w:rPr>
          <w:rFonts w:hint="eastAsia" w:ascii="楷体" w:hAnsi="楷体" w:eastAsia="楷体"/>
          <w:lang w:eastAsia="zh-CN"/>
        </w:rPr>
        <w:t>校外实习实训基地清单及承担的教学任务</w:t>
      </w:r>
    </w:p>
    <w:p>
      <w:pPr>
        <w:tabs>
          <w:tab w:val="left" w:pos="5103"/>
        </w:tabs>
        <w:jc w:val="left"/>
        <w:rPr>
          <w:rFonts w:ascii="宋体" w:hAnsi="宋体"/>
          <w:sz w:val="18"/>
          <w:szCs w:val="18"/>
        </w:rPr>
      </w:pPr>
    </w:p>
    <w:p>
      <w:pPr>
        <w:spacing w:before="156" w:beforeLines="50" w:after="156" w:afterLines="50" w:line="360" w:lineRule="auto"/>
        <w:ind w:firstLine="482" w:firstLineChars="200"/>
        <w:jc w:val="left"/>
        <w:rPr>
          <w:rFonts w:ascii="黑体" w:eastAsia="黑体"/>
          <w:b/>
          <w:sz w:val="24"/>
          <w:szCs w:val="24"/>
        </w:rPr>
      </w:pPr>
      <w:r>
        <w:rPr>
          <w:rFonts w:hint="eastAsia" w:ascii="黑体" w:eastAsia="黑体"/>
          <w:b/>
          <w:sz w:val="24"/>
          <w:szCs w:val="24"/>
        </w:rPr>
        <w:t>7.2 计算机、网络以及图书资料资源能够满足学生的学习以及教师的日常教学和科研所需。资源管理规范、共享程度高。</w:t>
      </w:r>
    </w:p>
    <w:p>
      <w:pPr>
        <w:pStyle w:val="71"/>
        <w:spacing w:line="360" w:lineRule="auto"/>
        <w:ind w:left="567"/>
        <w:rPr>
          <w:rFonts w:ascii="楷体" w:hAnsi="楷体" w:eastAsia="楷体"/>
          <w:b/>
          <w:lang w:eastAsia="zh-CN"/>
        </w:rPr>
      </w:pPr>
      <w:r>
        <w:rPr>
          <w:rFonts w:hint="eastAsia" w:ascii="楷体" w:hAnsi="楷体" w:eastAsia="楷体"/>
          <w:b/>
          <w:lang w:eastAsia="zh-CN"/>
        </w:rPr>
        <w:t>（1）需要说明的情况：</w:t>
      </w:r>
    </w:p>
    <w:p>
      <w:pPr>
        <w:pStyle w:val="71"/>
        <w:numPr>
          <w:ilvl w:val="0"/>
          <w:numId w:val="47"/>
        </w:numPr>
        <w:spacing w:line="360" w:lineRule="auto"/>
        <w:rPr>
          <w:rFonts w:ascii="楷体" w:hAnsi="楷体" w:eastAsia="楷体"/>
          <w:lang w:eastAsia="zh-CN"/>
        </w:rPr>
      </w:pPr>
      <w:r>
        <w:rPr>
          <w:rFonts w:hint="eastAsia" w:ascii="楷体" w:hAnsi="楷体" w:eastAsia="楷体"/>
          <w:lang w:eastAsia="zh-CN"/>
        </w:rPr>
        <w:t>标准所要求的共享资源的配置情况、管理制度和共享情况；</w:t>
      </w:r>
    </w:p>
    <w:p>
      <w:pPr>
        <w:pStyle w:val="71"/>
        <w:numPr>
          <w:ilvl w:val="0"/>
          <w:numId w:val="47"/>
        </w:numPr>
        <w:spacing w:line="360" w:lineRule="auto"/>
        <w:rPr>
          <w:rFonts w:ascii="楷体" w:hAnsi="楷体" w:eastAsia="楷体"/>
          <w:lang w:eastAsia="zh-CN"/>
        </w:rPr>
      </w:pPr>
      <w:r>
        <w:rPr>
          <w:rFonts w:hint="eastAsia" w:ascii="楷体" w:hAnsi="楷体" w:eastAsia="楷体"/>
          <w:lang w:eastAsia="zh-CN"/>
        </w:rPr>
        <w:t>共享资源满足本专业师生学习、教学和科研之需的情况。</w:t>
      </w:r>
    </w:p>
    <w:p>
      <w:pPr>
        <w:pStyle w:val="71"/>
        <w:spacing w:line="360" w:lineRule="auto"/>
        <w:ind w:left="567"/>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48"/>
        </w:numPr>
        <w:spacing w:line="360" w:lineRule="auto"/>
        <w:ind w:firstLine="25"/>
        <w:rPr>
          <w:rFonts w:ascii="楷体" w:hAnsi="楷体" w:eastAsia="楷体"/>
        </w:rPr>
      </w:pPr>
      <w:r>
        <w:rPr>
          <w:rFonts w:hint="eastAsia" w:ascii="楷体" w:hAnsi="楷体" w:eastAsia="楷体"/>
          <w:lang w:eastAsia="zh-CN"/>
        </w:rPr>
        <w:t>相关管理规定</w:t>
      </w:r>
    </w:p>
    <w:p>
      <w:pPr>
        <w:pStyle w:val="71"/>
        <w:spacing w:line="360" w:lineRule="auto"/>
        <w:ind w:left="1134"/>
        <w:rPr>
          <w:rFonts w:ascii="楷体" w:hAnsi="楷体" w:eastAsia="楷体"/>
        </w:rPr>
      </w:pPr>
    </w:p>
    <w:p>
      <w:pPr>
        <w:pStyle w:val="71"/>
        <w:numPr>
          <w:ilvl w:val="1"/>
          <w:numId w:val="49"/>
        </w:numPr>
        <w:snapToGrid w:val="0"/>
        <w:spacing w:before="100" w:beforeAutospacing="1" w:after="156" w:afterLines="50" w:line="360" w:lineRule="auto"/>
        <w:ind w:left="885" w:hanging="459"/>
        <w:rPr>
          <w:rFonts w:ascii="黑体" w:eastAsia="黑体"/>
          <w:b/>
          <w:lang w:eastAsia="zh-CN"/>
        </w:rPr>
      </w:pPr>
      <w:r>
        <w:rPr>
          <w:rFonts w:hint="eastAsia" w:ascii="黑体" w:eastAsia="黑体"/>
          <w:b/>
          <w:lang w:eastAsia="zh-CN"/>
        </w:rPr>
        <w:t>教学经费有保证，总量能满足教学需要。</w:t>
      </w:r>
    </w:p>
    <w:p>
      <w:pPr>
        <w:pStyle w:val="71"/>
        <w:spacing w:line="360" w:lineRule="auto"/>
        <w:ind w:left="709"/>
        <w:rPr>
          <w:rFonts w:ascii="楷体" w:hAnsi="楷体" w:eastAsia="楷体"/>
          <w:b/>
          <w:lang w:eastAsia="zh-CN"/>
        </w:rPr>
      </w:pPr>
      <w:r>
        <w:rPr>
          <w:rFonts w:hint="eastAsia" w:ascii="楷体" w:hAnsi="楷体" w:eastAsia="楷体"/>
          <w:b/>
          <w:lang w:eastAsia="zh-CN"/>
        </w:rPr>
        <w:t>（1）需要说明的情况：</w:t>
      </w:r>
    </w:p>
    <w:p>
      <w:pPr>
        <w:pStyle w:val="71"/>
        <w:numPr>
          <w:ilvl w:val="0"/>
          <w:numId w:val="48"/>
        </w:numPr>
        <w:spacing w:line="360" w:lineRule="auto"/>
        <w:ind w:firstLine="25"/>
        <w:rPr>
          <w:rFonts w:ascii="楷体" w:hAnsi="楷体" w:eastAsia="楷体"/>
          <w:lang w:eastAsia="zh-CN"/>
        </w:rPr>
      </w:pPr>
      <w:r>
        <w:rPr>
          <w:rFonts w:hint="eastAsia" w:ascii="楷体" w:hAnsi="楷体" w:eastAsia="楷体"/>
          <w:lang w:eastAsia="zh-CN"/>
        </w:rPr>
        <w:t>列出近三年专业教学经费的主要收支情况表。</w:t>
      </w:r>
    </w:p>
    <w:p>
      <w:pPr>
        <w:pStyle w:val="71"/>
        <w:numPr>
          <w:ilvl w:val="0"/>
          <w:numId w:val="48"/>
        </w:numPr>
        <w:spacing w:line="360" w:lineRule="auto"/>
        <w:ind w:firstLine="25"/>
        <w:rPr>
          <w:rFonts w:ascii="楷体" w:hAnsi="楷体" w:eastAsia="楷体"/>
          <w:lang w:eastAsia="zh-CN"/>
        </w:rPr>
      </w:pPr>
      <w:r>
        <w:rPr>
          <w:rFonts w:hint="eastAsia" w:ascii="楷体" w:hAnsi="楷体" w:eastAsia="楷体"/>
          <w:lang w:eastAsia="zh-CN"/>
        </w:rPr>
        <w:t>简要说明经费总量是否满足教学需要，特别是生均实验、实习、毕业环节的经费投入是否有保证，</w:t>
      </w:r>
      <w:r>
        <w:rPr>
          <w:rFonts w:hint="eastAsia" w:ascii="楷体" w:hAnsi="楷体" w:eastAsia="楷体"/>
          <w:bCs/>
          <w:lang w:eastAsia="zh-CN"/>
        </w:rPr>
        <w:t>专项经费的投入是否满足专业持续改进的需求。</w:t>
      </w:r>
    </w:p>
    <w:p>
      <w:pPr>
        <w:pStyle w:val="71"/>
        <w:spacing w:line="360" w:lineRule="auto"/>
        <w:ind w:left="709"/>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48"/>
        </w:numPr>
        <w:spacing w:line="360" w:lineRule="auto"/>
        <w:ind w:firstLine="25"/>
        <w:rPr>
          <w:rFonts w:ascii="楷体" w:hAnsi="楷体" w:eastAsia="楷体"/>
          <w:lang w:eastAsia="zh-CN"/>
        </w:rPr>
      </w:pPr>
      <w:r>
        <w:rPr>
          <w:rFonts w:hint="eastAsia" w:ascii="楷体" w:hAnsi="楷体" w:eastAsia="楷体"/>
          <w:lang w:eastAsia="zh-CN"/>
        </w:rPr>
        <w:t>学校教学经费预算</w:t>
      </w:r>
      <w:r>
        <w:rPr>
          <w:rFonts w:ascii="楷体" w:hAnsi="楷体" w:eastAsia="楷体"/>
          <w:lang w:eastAsia="zh-CN"/>
        </w:rPr>
        <w:t>、下拨和使用的</w:t>
      </w:r>
      <w:r>
        <w:rPr>
          <w:rFonts w:hint="eastAsia" w:ascii="楷体" w:hAnsi="楷体" w:eastAsia="楷体"/>
          <w:lang w:eastAsia="zh-CN"/>
        </w:rPr>
        <w:t>相关</w:t>
      </w:r>
      <w:r>
        <w:rPr>
          <w:rFonts w:ascii="楷体" w:hAnsi="楷体" w:eastAsia="楷体"/>
          <w:lang w:eastAsia="zh-CN"/>
        </w:rPr>
        <w:t>规定</w:t>
      </w:r>
      <w:r>
        <w:rPr>
          <w:rFonts w:hint="eastAsia" w:ascii="楷体" w:hAnsi="楷体" w:eastAsia="楷体"/>
          <w:lang w:eastAsia="zh-CN"/>
        </w:rPr>
        <w:t>和标准</w:t>
      </w:r>
    </w:p>
    <w:p>
      <w:pPr>
        <w:pStyle w:val="71"/>
        <w:numPr>
          <w:ilvl w:val="0"/>
          <w:numId w:val="48"/>
        </w:numPr>
        <w:spacing w:line="360" w:lineRule="auto"/>
        <w:ind w:firstLine="25"/>
        <w:rPr>
          <w:rFonts w:ascii="楷体" w:hAnsi="楷体" w:eastAsia="楷体"/>
        </w:rPr>
      </w:pPr>
      <w:r>
        <w:rPr>
          <w:rFonts w:hint="eastAsia" w:ascii="楷体" w:hAnsi="楷体" w:eastAsia="楷体"/>
        </w:rPr>
        <w:t>经费支出清单</w:t>
      </w:r>
    </w:p>
    <w:p>
      <w:pPr>
        <w:spacing w:line="360" w:lineRule="auto"/>
        <w:ind w:firstLine="482" w:firstLineChars="200"/>
        <w:jc w:val="left"/>
        <w:rPr>
          <w:rFonts w:ascii="黑体" w:eastAsia="黑体"/>
          <w:b/>
          <w:sz w:val="24"/>
          <w:szCs w:val="24"/>
        </w:rPr>
      </w:pPr>
    </w:p>
    <w:p>
      <w:pPr>
        <w:spacing w:line="360" w:lineRule="auto"/>
        <w:ind w:firstLine="482" w:firstLineChars="200"/>
        <w:jc w:val="left"/>
        <w:rPr>
          <w:rFonts w:ascii="黑体" w:hAnsi="黑体" w:eastAsia="黑体"/>
          <w:b/>
          <w:sz w:val="24"/>
          <w:szCs w:val="24"/>
        </w:rPr>
      </w:pPr>
      <w:r>
        <w:rPr>
          <w:rFonts w:hint="eastAsia" w:ascii="黑体" w:eastAsia="黑体"/>
          <w:b/>
          <w:sz w:val="24"/>
          <w:szCs w:val="24"/>
        </w:rPr>
        <w:t>7.4学校能够有效地支持教师队伍建设，吸引与稳定合格的教师，并支持教师本身的专业发展，包括对青年教师的指导和培养。</w:t>
      </w:r>
    </w:p>
    <w:p>
      <w:pPr>
        <w:pStyle w:val="71"/>
        <w:spacing w:line="360" w:lineRule="auto"/>
        <w:ind w:left="709"/>
        <w:rPr>
          <w:rFonts w:ascii="楷体" w:hAnsi="楷体" w:eastAsia="楷体"/>
          <w:b/>
          <w:lang w:eastAsia="zh-CN"/>
        </w:rPr>
      </w:pPr>
      <w:r>
        <w:rPr>
          <w:rFonts w:hint="eastAsia" w:ascii="楷体" w:hAnsi="楷体" w:eastAsia="楷体"/>
          <w:b/>
          <w:lang w:eastAsia="zh-CN"/>
        </w:rPr>
        <w:t>（1）需要说明的情况：</w:t>
      </w:r>
    </w:p>
    <w:p>
      <w:pPr>
        <w:pStyle w:val="71"/>
        <w:numPr>
          <w:ilvl w:val="0"/>
          <w:numId w:val="50"/>
        </w:numPr>
        <w:spacing w:line="360" w:lineRule="auto"/>
        <w:rPr>
          <w:rFonts w:ascii="楷体" w:hAnsi="楷体" w:eastAsia="楷体"/>
          <w:lang w:eastAsia="zh-CN"/>
        </w:rPr>
      </w:pPr>
      <w:r>
        <w:rPr>
          <w:rFonts w:hint="eastAsia" w:ascii="楷体" w:hAnsi="楷体" w:eastAsia="楷体"/>
          <w:lang w:eastAsia="zh-CN"/>
        </w:rPr>
        <w:t>学校是否有支持教师队伍建设的机构、制度和措施。</w:t>
      </w:r>
    </w:p>
    <w:p>
      <w:pPr>
        <w:pStyle w:val="71"/>
        <w:numPr>
          <w:ilvl w:val="0"/>
          <w:numId w:val="50"/>
        </w:numPr>
        <w:spacing w:line="360" w:lineRule="auto"/>
        <w:rPr>
          <w:rFonts w:ascii="楷体" w:hAnsi="楷体" w:eastAsia="楷体"/>
          <w:lang w:eastAsia="zh-CN"/>
        </w:rPr>
      </w:pPr>
      <w:r>
        <w:rPr>
          <w:rFonts w:hint="eastAsia" w:ascii="楷体" w:hAnsi="楷体" w:eastAsia="楷体"/>
          <w:lang w:eastAsia="zh-CN"/>
        </w:rPr>
        <w:t>近三年学校支持和稳定本专业师资队伍建设的措施和效果；</w:t>
      </w:r>
    </w:p>
    <w:p>
      <w:pPr>
        <w:pStyle w:val="71"/>
        <w:numPr>
          <w:ilvl w:val="0"/>
          <w:numId w:val="50"/>
        </w:numPr>
        <w:spacing w:line="360" w:lineRule="auto"/>
        <w:rPr>
          <w:rFonts w:ascii="楷体" w:hAnsi="楷体" w:eastAsia="楷体"/>
          <w:lang w:eastAsia="zh-CN"/>
        </w:rPr>
      </w:pPr>
      <w:r>
        <w:rPr>
          <w:rFonts w:hint="eastAsia" w:ascii="楷体" w:hAnsi="楷体" w:eastAsia="楷体"/>
          <w:lang w:eastAsia="zh-CN"/>
        </w:rPr>
        <w:t>学校是否有支持教师专业发展，特别是青年教师教学能力培训和工程实践能力提升的具体措施，并被教师所了解。</w:t>
      </w:r>
    </w:p>
    <w:p>
      <w:pPr>
        <w:pStyle w:val="71"/>
        <w:numPr>
          <w:ilvl w:val="0"/>
          <w:numId w:val="50"/>
        </w:numPr>
        <w:spacing w:line="360" w:lineRule="auto"/>
        <w:rPr>
          <w:rFonts w:ascii="楷体" w:hAnsi="楷体" w:eastAsia="楷体"/>
          <w:lang w:eastAsia="zh-CN"/>
        </w:rPr>
      </w:pPr>
      <w:r>
        <w:rPr>
          <w:rFonts w:hint="eastAsia" w:ascii="楷体" w:hAnsi="楷体" w:eastAsia="楷体"/>
          <w:lang w:eastAsia="zh-CN"/>
        </w:rPr>
        <w:t>近三年本专业青年教师在提升教学能力和工程实践能力方面得到的培训机会和效果。</w:t>
      </w:r>
    </w:p>
    <w:p>
      <w:pPr>
        <w:pStyle w:val="71"/>
        <w:spacing w:line="360" w:lineRule="auto"/>
        <w:ind w:left="709"/>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51"/>
        </w:numPr>
        <w:spacing w:line="360" w:lineRule="auto"/>
        <w:rPr>
          <w:rFonts w:ascii="楷体" w:hAnsi="楷体" w:eastAsia="楷体"/>
          <w:lang w:eastAsia="zh-CN"/>
        </w:rPr>
      </w:pPr>
      <w:r>
        <w:rPr>
          <w:rFonts w:hint="eastAsia" w:ascii="楷体" w:hAnsi="楷体" w:eastAsia="楷体"/>
          <w:lang w:eastAsia="zh-CN"/>
        </w:rPr>
        <w:t>相关制度和措施的文件，以及实施效果的证明材料</w:t>
      </w:r>
    </w:p>
    <w:p>
      <w:pPr>
        <w:spacing w:before="100" w:beforeAutospacing="1" w:line="360" w:lineRule="auto"/>
        <w:ind w:firstLine="482" w:firstLineChars="200"/>
        <w:jc w:val="left"/>
        <w:rPr>
          <w:rFonts w:ascii="黑体" w:hAnsi="黑体" w:eastAsia="黑体"/>
          <w:b/>
          <w:sz w:val="24"/>
          <w:szCs w:val="24"/>
        </w:rPr>
      </w:pPr>
      <w:r>
        <w:rPr>
          <w:rFonts w:hint="eastAsia" w:ascii="黑体" w:eastAsia="黑体"/>
          <w:b/>
          <w:sz w:val="24"/>
          <w:szCs w:val="24"/>
        </w:rPr>
        <w:t>7.5学校能够提供达成毕业要求所必需的基础设施，包括为学生的实践活动、创新活动提供有效支持。</w:t>
      </w:r>
    </w:p>
    <w:p>
      <w:pPr>
        <w:pStyle w:val="71"/>
        <w:spacing w:line="360" w:lineRule="auto"/>
        <w:ind w:left="709"/>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52"/>
        </w:numPr>
        <w:spacing w:line="360" w:lineRule="auto"/>
        <w:rPr>
          <w:rFonts w:ascii="楷体" w:hAnsi="楷体" w:eastAsia="楷体"/>
          <w:lang w:eastAsia="zh-CN"/>
        </w:rPr>
      </w:pPr>
      <w:r>
        <w:rPr>
          <w:rFonts w:hint="eastAsia" w:ascii="楷体" w:hAnsi="楷体" w:eastAsia="楷体"/>
          <w:lang w:eastAsia="zh-CN"/>
        </w:rPr>
        <w:t>简介学校为满足学生的学习、生活、体育和文化活动之需而提供的相关基础设施。</w:t>
      </w:r>
    </w:p>
    <w:p>
      <w:pPr>
        <w:pStyle w:val="71"/>
        <w:numPr>
          <w:ilvl w:val="0"/>
          <w:numId w:val="52"/>
        </w:numPr>
        <w:spacing w:line="360" w:lineRule="auto"/>
        <w:rPr>
          <w:rFonts w:ascii="楷体" w:hAnsi="楷体" w:eastAsia="楷体"/>
          <w:lang w:eastAsia="zh-CN"/>
        </w:rPr>
      </w:pPr>
      <w:r>
        <w:rPr>
          <w:rFonts w:hint="eastAsia" w:ascii="楷体" w:hAnsi="楷体" w:eastAsia="楷体"/>
          <w:lang w:eastAsia="zh-CN"/>
        </w:rPr>
        <w:t>学校为支持学生的社会实践、创新活动而提供的场所、条件设施和管理服务，学生受益情况。</w:t>
      </w:r>
    </w:p>
    <w:p>
      <w:pPr>
        <w:pStyle w:val="71"/>
        <w:spacing w:line="360" w:lineRule="auto"/>
        <w:ind w:left="709"/>
        <w:rPr>
          <w:rFonts w:ascii="楷体" w:hAnsi="楷体" w:eastAsia="楷体"/>
          <w:lang w:eastAsia="zh-CN"/>
        </w:rPr>
      </w:pPr>
      <w:r>
        <w:rPr>
          <w:rFonts w:hint="eastAsia" w:ascii="楷体" w:hAnsi="楷体" w:eastAsia="楷体"/>
          <w:b/>
          <w:lang w:eastAsia="zh-CN"/>
        </w:rPr>
        <w:t>（2）需要提供的支撑材料</w:t>
      </w:r>
      <w:r>
        <w:rPr>
          <w:rFonts w:hint="eastAsia" w:ascii="楷体" w:hAnsi="楷体" w:eastAsia="楷体"/>
          <w:lang w:eastAsia="zh-CN"/>
        </w:rPr>
        <w:t>：</w:t>
      </w:r>
    </w:p>
    <w:p>
      <w:pPr>
        <w:pStyle w:val="71"/>
        <w:numPr>
          <w:ilvl w:val="0"/>
          <w:numId w:val="53"/>
        </w:numPr>
        <w:spacing w:line="360" w:lineRule="auto"/>
        <w:ind w:left="709" w:firstLine="480"/>
        <w:rPr>
          <w:rFonts w:ascii="楷体" w:hAnsi="楷体" w:eastAsia="楷体"/>
          <w:lang w:eastAsia="zh-CN"/>
        </w:rPr>
      </w:pPr>
      <w:r>
        <w:rPr>
          <w:rFonts w:hint="eastAsia" w:ascii="楷体" w:hAnsi="楷体" w:eastAsia="楷体"/>
          <w:lang w:eastAsia="zh-CN"/>
        </w:rPr>
        <w:t>能够证明学生受益情况的资料</w:t>
      </w:r>
    </w:p>
    <w:p>
      <w:pPr>
        <w:pStyle w:val="71"/>
        <w:spacing w:line="360" w:lineRule="auto"/>
        <w:ind w:left="1129" w:firstLine="420"/>
        <w:rPr>
          <w:rFonts w:ascii="楷体" w:hAnsi="楷体" w:eastAsia="楷体"/>
          <w:lang w:eastAsia="zh-CN"/>
        </w:rPr>
      </w:pPr>
    </w:p>
    <w:p>
      <w:pPr>
        <w:pStyle w:val="71"/>
        <w:spacing w:before="156" w:beforeLines="50" w:after="156" w:afterLines="50" w:line="360" w:lineRule="auto"/>
        <w:ind w:left="426"/>
        <w:rPr>
          <w:rFonts w:ascii="黑体" w:eastAsia="黑体"/>
          <w:b/>
          <w:lang w:eastAsia="zh-CN"/>
        </w:rPr>
      </w:pPr>
      <w:r>
        <w:rPr>
          <w:rFonts w:hint="eastAsia" w:ascii="黑体" w:eastAsia="黑体"/>
          <w:b/>
          <w:lang w:eastAsia="zh-CN"/>
        </w:rPr>
        <w:t>7.6 学校的教学管理与服务规范，能有效地支持专业毕业要求的达成。</w:t>
      </w:r>
    </w:p>
    <w:p>
      <w:pPr>
        <w:pStyle w:val="71"/>
        <w:spacing w:before="100" w:beforeAutospacing="1" w:line="360" w:lineRule="auto"/>
        <w:ind w:left="709"/>
        <w:rPr>
          <w:rFonts w:ascii="楷体" w:hAnsi="楷体" w:eastAsia="楷体"/>
          <w:lang w:eastAsia="zh-CN"/>
        </w:rPr>
      </w:pPr>
      <w:r>
        <w:rPr>
          <w:rFonts w:hint="eastAsia" w:ascii="楷体" w:hAnsi="楷体" w:eastAsia="楷体"/>
          <w:b/>
          <w:lang w:eastAsia="zh-CN"/>
        </w:rPr>
        <w:t>（1）需要说明的情况</w:t>
      </w:r>
      <w:r>
        <w:rPr>
          <w:rFonts w:hint="eastAsia" w:ascii="楷体" w:hAnsi="楷体" w:eastAsia="楷体"/>
          <w:lang w:eastAsia="zh-CN"/>
        </w:rPr>
        <w:t>：</w:t>
      </w:r>
    </w:p>
    <w:p>
      <w:pPr>
        <w:pStyle w:val="71"/>
        <w:numPr>
          <w:ilvl w:val="0"/>
          <w:numId w:val="54"/>
        </w:numPr>
        <w:spacing w:line="360" w:lineRule="auto"/>
        <w:rPr>
          <w:rFonts w:ascii="楷体" w:hAnsi="楷体" w:eastAsia="楷体"/>
          <w:lang w:eastAsia="zh-CN"/>
        </w:rPr>
      </w:pPr>
      <w:r>
        <w:rPr>
          <w:rFonts w:hint="eastAsia" w:ascii="楷体" w:hAnsi="楷体" w:eastAsia="楷体"/>
          <w:lang w:eastAsia="zh-CN"/>
        </w:rPr>
        <w:t>学校各职能部门在教学管理、制度建设、条件保障、质量监控、组织协调等方面为专业学生达成毕业要求和专业教学的持续改进提供的支持和服务</w:t>
      </w:r>
      <w:r>
        <w:rPr>
          <w:rFonts w:ascii="楷体" w:hAnsi="楷体" w:eastAsia="楷体"/>
          <w:lang w:eastAsia="zh-CN"/>
        </w:rPr>
        <w:t>。</w:t>
      </w:r>
    </w:p>
    <w:p>
      <w:pPr>
        <w:pStyle w:val="71"/>
        <w:spacing w:line="360" w:lineRule="auto"/>
        <w:ind w:left="709"/>
        <w:rPr>
          <w:rFonts w:ascii="楷体" w:hAnsi="楷体" w:eastAsia="楷体"/>
          <w:b/>
          <w:lang w:eastAsia="zh-CN"/>
        </w:rPr>
      </w:pPr>
      <w:r>
        <w:rPr>
          <w:rFonts w:hint="eastAsia" w:ascii="楷体" w:hAnsi="楷体" w:eastAsia="楷体"/>
          <w:b/>
          <w:lang w:eastAsia="zh-CN"/>
        </w:rPr>
        <w:t>（2）需要提供的支撑材料：</w:t>
      </w:r>
    </w:p>
    <w:p>
      <w:pPr>
        <w:pStyle w:val="71"/>
        <w:numPr>
          <w:ilvl w:val="0"/>
          <w:numId w:val="54"/>
        </w:numPr>
        <w:spacing w:before="100" w:beforeAutospacing="1"/>
        <w:ind w:left="1134" w:firstLine="28"/>
        <w:rPr>
          <w:rFonts w:ascii="楷体" w:hAnsi="楷体" w:eastAsia="楷体"/>
          <w:lang w:eastAsia="zh-CN"/>
        </w:rPr>
      </w:pPr>
      <w:r>
        <w:rPr>
          <w:rFonts w:hint="eastAsia" w:ascii="楷体" w:hAnsi="楷体" w:eastAsia="楷体"/>
          <w:lang w:eastAsia="zh-CN"/>
        </w:rPr>
        <w:t>证明学校教学管理和服务工作规范有效的材料</w:t>
      </w:r>
    </w:p>
    <w:p>
      <w:pPr>
        <w:tabs>
          <w:tab w:val="left" w:pos="5103"/>
        </w:tabs>
        <w:spacing w:before="156" w:beforeLines="50"/>
        <w:ind w:firstLine="708" w:firstLineChars="295"/>
        <w:jc w:val="left"/>
        <w:rPr>
          <w:rFonts w:ascii="楷体" w:hAnsi="楷体" w:eastAsia="楷体"/>
          <w:sz w:val="24"/>
          <w:szCs w:val="24"/>
        </w:rPr>
      </w:pPr>
    </w:p>
    <w:p>
      <w:pPr>
        <w:spacing w:line="360" w:lineRule="auto"/>
        <w:jc w:val="left"/>
        <w:rPr>
          <w:rFonts w:ascii="楷体" w:hAnsi="楷体" w:eastAsia="楷体"/>
          <w:sz w:val="24"/>
          <w:szCs w:val="24"/>
        </w:rPr>
      </w:pPr>
      <w:r>
        <w:rPr>
          <w:rFonts w:hint="eastAsia"/>
          <w:b/>
          <w:sz w:val="24"/>
          <w:szCs w:val="24"/>
        </w:rPr>
        <w:t>附件：</w:t>
      </w:r>
      <w:r>
        <w:rPr>
          <w:rFonts w:hint="eastAsia" w:ascii="楷体" w:hAnsi="楷体" w:eastAsia="楷体"/>
          <w:sz w:val="24"/>
          <w:szCs w:val="24"/>
        </w:rPr>
        <w:t>（根据各项观测下要求提供的材料索引整理确定）</w:t>
      </w:r>
    </w:p>
    <w:sectPr>
      <w:footerReference r:id="rId3" w:type="default"/>
      <w:footerReference r:id="rId4" w:type="even"/>
      <w:pgSz w:w="11906" w:h="16838"/>
      <w:pgMar w:top="1440" w:right="17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20</w:t>
    </w:r>
    <w:r>
      <w:rPr>
        <w:rStyle w:val="32"/>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E44"/>
    <w:multiLevelType w:val="multilevel"/>
    <w:tmpl w:val="02076E44"/>
    <w:lvl w:ilvl="0" w:tentative="0">
      <w:start w:val="1"/>
      <w:numFmt w:val="bullet"/>
      <w:lvlText w:val=""/>
      <w:lvlJc w:val="left"/>
      <w:pPr>
        <w:ind w:left="1949" w:hanging="420"/>
      </w:pPr>
      <w:rPr>
        <w:rFonts w:hint="default" w:ascii="Wingdings" w:hAnsi="Wingdings"/>
      </w:rPr>
    </w:lvl>
    <w:lvl w:ilvl="1" w:tentative="0">
      <w:start w:val="1"/>
      <w:numFmt w:val="bullet"/>
      <w:lvlText w:val=""/>
      <w:lvlJc w:val="left"/>
      <w:pPr>
        <w:ind w:left="2369" w:hanging="420"/>
      </w:pPr>
      <w:rPr>
        <w:rFonts w:hint="default" w:ascii="Wingdings" w:hAnsi="Wingdings"/>
      </w:rPr>
    </w:lvl>
    <w:lvl w:ilvl="2" w:tentative="0">
      <w:start w:val="1"/>
      <w:numFmt w:val="bullet"/>
      <w:lvlText w:val=""/>
      <w:lvlJc w:val="left"/>
      <w:pPr>
        <w:ind w:left="2789" w:hanging="420"/>
      </w:pPr>
      <w:rPr>
        <w:rFonts w:hint="default" w:ascii="Wingdings" w:hAnsi="Wingdings"/>
      </w:rPr>
    </w:lvl>
    <w:lvl w:ilvl="3" w:tentative="0">
      <w:start w:val="1"/>
      <w:numFmt w:val="bullet"/>
      <w:lvlText w:val=""/>
      <w:lvlJc w:val="left"/>
      <w:pPr>
        <w:ind w:left="3209" w:hanging="420"/>
      </w:pPr>
      <w:rPr>
        <w:rFonts w:hint="default" w:ascii="Wingdings" w:hAnsi="Wingdings"/>
      </w:rPr>
    </w:lvl>
    <w:lvl w:ilvl="4" w:tentative="0">
      <w:start w:val="1"/>
      <w:numFmt w:val="bullet"/>
      <w:lvlText w:val=""/>
      <w:lvlJc w:val="left"/>
      <w:pPr>
        <w:ind w:left="3629" w:hanging="420"/>
      </w:pPr>
      <w:rPr>
        <w:rFonts w:hint="default" w:ascii="Wingdings" w:hAnsi="Wingdings"/>
      </w:rPr>
    </w:lvl>
    <w:lvl w:ilvl="5" w:tentative="0">
      <w:start w:val="1"/>
      <w:numFmt w:val="bullet"/>
      <w:lvlText w:val=""/>
      <w:lvlJc w:val="left"/>
      <w:pPr>
        <w:ind w:left="4049" w:hanging="420"/>
      </w:pPr>
      <w:rPr>
        <w:rFonts w:hint="default" w:ascii="Wingdings" w:hAnsi="Wingdings"/>
      </w:rPr>
    </w:lvl>
    <w:lvl w:ilvl="6" w:tentative="0">
      <w:start w:val="1"/>
      <w:numFmt w:val="bullet"/>
      <w:lvlText w:val=""/>
      <w:lvlJc w:val="left"/>
      <w:pPr>
        <w:ind w:left="4469" w:hanging="420"/>
      </w:pPr>
      <w:rPr>
        <w:rFonts w:hint="default" w:ascii="Wingdings" w:hAnsi="Wingdings"/>
      </w:rPr>
    </w:lvl>
    <w:lvl w:ilvl="7" w:tentative="0">
      <w:start w:val="1"/>
      <w:numFmt w:val="bullet"/>
      <w:lvlText w:val=""/>
      <w:lvlJc w:val="left"/>
      <w:pPr>
        <w:ind w:left="4889" w:hanging="420"/>
      </w:pPr>
      <w:rPr>
        <w:rFonts w:hint="default" w:ascii="Wingdings" w:hAnsi="Wingdings"/>
      </w:rPr>
    </w:lvl>
    <w:lvl w:ilvl="8" w:tentative="0">
      <w:start w:val="1"/>
      <w:numFmt w:val="bullet"/>
      <w:lvlText w:val=""/>
      <w:lvlJc w:val="left"/>
      <w:pPr>
        <w:ind w:left="5309" w:hanging="420"/>
      </w:pPr>
      <w:rPr>
        <w:rFonts w:hint="default" w:ascii="Wingdings" w:hAnsi="Wingdings"/>
      </w:rPr>
    </w:lvl>
  </w:abstractNum>
  <w:abstractNum w:abstractNumId="1">
    <w:nsid w:val="039104C2"/>
    <w:multiLevelType w:val="multilevel"/>
    <w:tmpl w:val="039104C2"/>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
    <w:nsid w:val="0E6C7630"/>
    <w:multiLevelType w:val="multilevel"/>
    <w:tmpl w:val="0E6C763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
    <w:nsid w:val="0F5B52A4"/>
    <w:multiLevelType w:val="multilevel"/>
    <w:tmpl w:val="0F5B52A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
    <w:nsid w:val="104F4E05"/>
    <w:multiLevelType w:val="multilevel"/>
    <w:tmpl w:val="104F4E05"/>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5">
    <w:nsid w:val="108F7BFB"/>
    <w:multiLevelType w:val="multilevel"/>
    <w:tmpl w:val="108F7BF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6">
    <w:nsid w:val="12BC5B98"/>
    <w:multiLevelType w:val="multilevel"/>
    <w:tmpl w:val="12BC5B98"/>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7">
    <w:nsid w:val="1435785E"/>
    <w:multiLevelType w:val="multilevel"/>
    <w:tmpl w:val="1435785E"/>
    <w:lvl w:ilvl="0" w:tentative="0">
      <w:start w:val="4"/>
      <w:numFmt w:val="decimal"/>
      <w:lvlText w:val="%1"/>
      <w:lvlJc w:val="left"/>
      <w:pPr>
        <w:ind w:left="405" w:hanging="405"/>
      </w:pPr>
      <w:rPr>
        <w:rFonts w:hint="default" w:hAnsi="Times New Roman"/>
      </w:rPr>
    </w:lvl>
    <w:lvl w:ilvl="1" w:tentative="0">
      <w:start w:val="3"/>
      <w:numFmt w:val="decimal"/>
      <w:lvlText w:val="%1.%2"/>
      <w:lvlJc w:val="left"/>
      <w:pPr>
        <w:ind w:left="887" w:hanging="405"/>
      </w:pPr>
      <w:rPr>
        <w:rFonts w:hint="default" w:hAnsi="Times New Roman"/>
      </w:rPr>
    </w:lvl>
    <w:lvl w:ilvl="2" w:tentative="0">
      <w:start w:val="1"/>
      <w:numFmt w:val="decimal"/>
      <w:lvlText w:val="%1.%2.%3"/>
      <w:lvlJc w:val="left"/>
      <w:pPr>
        <w:ind w:left="1684" w:hanging="720"/>
      </w:pPr>
      <w:rPr>
        <w:rFonts w:hint="default" w:hAnsi="Times New Roman"/>
      </w:rPr>
    </w:lvl>
    <w:lvl w:ilvl="3" w:tentative="0">
      <w:start w:val="1"/>
      <w:numFmt w:val="decimal"/>
      <w:lvlText w:val="%1.%2.%3.%4"/>
      <w:lvlJc w:val="left"/>
      <w:pPr>
        <w:ind w:left="2526" w:hanging="1080"/>
      </w:pPr>
      <w:rPr>
        <w:rFonts w:hint="default" w:hAnsi="Times New Roman"/>
      </w:rPr>
    </w:lvl>
    <w:lvl w:ilvl="4" w:tentative="0">
      <w:start w:val="1"/>
      <w:numFmt w:val="decimal"/>
      <w:lvlText w:val="%1.%2.%3.%4.%5"/>
      <w:lvlJc w:val="left"/>
      <w:pPr>
        <w:ind w:left="3008" w:hanging="1080"/>
      </w:pPr>
      <w:rPr>
        <w:rFonts w:hint="default" w:hAnsi="Times New Roman"/>
      </w:rPr>
    </w:lvl>
    <w:lvl w:ilvl="5" w:tentative="0">
      <w:start w:val="1"/>
      <w:numFmt w:val="decimal"/>
      <w:lvlText w:val="%1.%2.%3.%4.%5.%6"/>
      <w:lvlJc w:val="left"/>
      <w:pPr>
        <w:ind w:left="3850" w:hanging="1440"/>
      </w:pPr>
      <w:rPr>
        <w:rFonts w:hint="default" w:hAnsi="Times New Roman"/>
      </w:rPr>
    </w:lvl>
    <w:lvl w:ilvl="6" w:tentative="0">
      <w:start w:val="1"/>
      <w:numFmt w:val="decimal"/>
      <w:lvlText w:val="%1.%2.%3.%4.%5.%6.%7"/>
      <w:lvlJc w:val="left"/>
      <w:pPr>
        <w:ind w:left="4692" w:hanging="1800"/>
      </w:pPr>
      <w:rPr>
        <w:rFonts w:hint="default" w:hAnsi="Times New Roman"/>
      </w:rPr>
    </w:lvl>
    <w:lvl w:ilvl="7" w:tentative="0">
      <w:start w:val="1"/>
      <w:numFmt w:val="decimal"/>
      <w:lvlText w:val="%1.%2.%3.%4.%5.%6.%7.%8"/>
      <w:lvlJc w:val="left"/>
      <w:pPr>
        <w:ind w:left="5174" w:hanging="1800"/>
      </w:pPr>
      <w:rPr>
        <w:rFonts w:hint="default" w:hAnsi="Times New Roman"/>
      </w:rPr>
    </w:lvl>
    <w:lvl w:ilvl="8" w:tentative="0">
      <w:start w:val="1"/>
      <w:numFmt w:val="decimal"/>
      <w:lvlText w:val="%1.%2.%3.%4.%5.%6.%7.%8.%9"/>
      <w:lvlJc w:val="left"/>
      <w:pPr>
        <w:ind w:left="6016" w:hanging="2160"/>
      </w:pPr>
      <w:rPr>
        <w:rFonts w:hint="default" w:hAnsi="Times New Roman"/>
      </w:rPr>
    </w:lvl>
  </w:abstractNum>
  <w:abstractNum w:abstractNumId="8">
    <w:nsid w:val="14982D0B"/>
    <w:multiLevelType w:val="multilevel"/>
    <w:tmpl w:val="14982D0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9">
    <w:nsid w:val="16FF6248"/>
    <w:multiLevelType w:val="multilevel"/>
    <w:tmpl w:val="16FF62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8954754"/>
    <w:multiLevelType w:val="multilevel"/>
    <w:tmpl w:val="1895475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1">
    <w:nsid w:val="18B34566"/>
    <w:multiLevelType w:val="multilevel"/>
    <w:tmpl w:val="18B34566"/>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2">
    <w:nsid w:val="1BEE2F43"/>
    <w:multiLevelType w:val="multilevel"/>
    <w:tmpl w:val="1BEE2F43"/>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3">
    <w:nsid w:val="213D4C72"/>
    <w:multiLevelType w:val="multilevel"/>
    <w:tmpl w:val="213D4C72"/>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4">
    <w:nsid w:val="222472B0"/>
    <w:multiLevelType w:val="multilevel"/>
    <w:tmpl w:val="222472B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5">
    <w:nsid w:val="25D93069"/>
    <w:multiLevelType w:val="multilevel"/>
    <w:tmpl w:val="25D93069"/>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6">
    <w:nsid w:val="262807BF"/>
    <w:multiLevelType w:val="multilevel"/>
    <w:tmpl w:val="262807BF"/>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7">
    <w:nsid w:val="271F0E6B"/>
    <w:multiLevelType w:val="multilevel"/>
    <w:tmpl w:val="271F0E6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8">
    <w:nsid w:val="28CA0215"/>
    <w:multiLevelType w:val="multilevel"/>
    <w:tmpl w:val="28CA0215"/>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9">
    <w:nsid w:val="29E913F0"/>
    <w:multiLevelType w:val="multilevel"/>
    <w:tmpl w:val="29E913F0"/>
    <w:lvl w:ilvl="0" w:tentative="0">
      <w:start w:val="7"/>
      <w:numFmt w:val="decimal"/>
      <w:lvlText w:val="%1"/>
      <w:lvlJc w:val="left"/>
      <w:pPr>
        <w:ind w:left="405" w:hanging="405"/>
      </w:pPr>
      <w:rPr>
        <w:rFonts w:hint="default"/>
      </w:rPr>
    </w:lvl>
    <w:lvl w:ilvl="1" w:tentative="0">
      <w:start w:val="3"/>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0">
    <w:nsid w:val="2FE94047"/>
    <w:multiLevelType w:val="multilevel"/>
    <w:tmpl w:val="2FE94047"/>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1">
    <w:nsid w:val="31901230"/>
    <w:multiLevelType w:val="multilevel"/>
    <w:tmpl w:val="3190123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2">
    <w:nsid w:val="32A409BA"/>
    <w:multiLevelType w:val="multilevel"/>
    <w:tmpl w:val="32A409BA"/>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3">
    <w:nsid w:val="35802260"/>
    <w:multiLevelType w:val="multilevel"/>
    <w:tmpl w:val="3580226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4">
    <w:nsid w:val="35FE1A0C"/>
    <w:multiLevelType w:val="multilevel"/>
    <w:tmpl w:val="35FE1A0C"/>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5">
    <w:nsid w:val="36C26621"/>
    <w:multiLevelType w:val="multilevel"/>
    <w:tmpl w:val="36C26621"/>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6">
    <w:nsid w:val="37630C11"/>
    <w:multiLevelType w:val="multilevel"/>
    <w:tmpl w:val="37630C11"/>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7">
    <w:nsid w:val="376D0C8A"/>
    <w:multiLevelType w:val="multilevel"/>
    <w:tmpl w:val="376D0C8A"/>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8">
    <w:nsid w:val="39D4291A"/>
    <w:multiLevelType w:val="multilevel"/>
    <w:tmpl w:val="39D4291A"/>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9">
    <w:nsid w:val="3C571FAE"/>
    <w:multiLevelType w:val="multilevel"/>
    <w:tmpl w:val="3C571FAE"/>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0">
    <w:nsid w:val="42272367"/>
    <w:multiLevelType w:val="multilevel"/>
    <w:tmpl w:val="42272367"/>
    <w:lvl w:ilvl="0" w:tentative="0">
      <w:start w:val="1"/>
      <w:numFmt w:val="bullet"/>
      <w:lvlText w:val=""/>
      <w:lvlJc w:val="left"/>
      <w:pPr>
        <w:ind w:left="1109" w:hanging="420"/>
      </w:pPr>
      <w:rPr>
        <w:rFonts w:hint="default" w:ascii="Wingdings" w:hAnsi="Wingdings"/>
      </w:rPr>
    </w:lvl>
    <w:lvl w:ilvl="1" w:tentative="0">
      <w:start w:val="1"/>
      <w:numFmt w:val="bullet"/>
      <w:lvlText w:val=""/>
      <w:lvlJc w:val="left"/>
      <w:pPr>
        <w:ind w:left="1529" w:hanging="420"/>
      </w:pPr>
      <w:rPr>
        <w:rFonts w:hint="default" w:ascii="Wingdings" w:hAnsi="Wingdings"/>
      </w:rPr>
    </w:lvl>
    <w:lvl w:ilvl="2" w:tentative="0">
      <w:start w:val="1"/>
      <w:numFmt w:val="bullet"/>
      <w:lvlText w:val=""/>
      <w:lvlJc w:val="left"/>
      <w:pPr>
        <w:ind w:left="1949" w:hanging="420"/>
      </w:pPr>
      <w:rPr>
        <w:rFonts w:hint="default" w:ascii="Wingdings" w:hAnsi="Wingdings"/>
      </w:rPr>
    </w:lvl>
    <w:lvl w:ilvl="3" w:tentative="0">
      <w:start w:val="1"/>
      <w:numFmt w:val="bullet"/>
      <w:lvlText w:val=""/>
      <w:lvlJc w:val="left"/>
      <w:pPr>
        <w:ind w:left="2369" w:hanging="420"/>
      </w:pPr>
      <w:rPr>
        <w:rFonts w:hint="default" w:ascii="Wingdings" w:hAnsi="Wingdings"/>
      </w:rPr>
    </w:lvl>
    <w:lvl w:ilvl="4" w:tentative="0">
      <w:start w:val="1"/>
      <w:numFmt w:val="bullet"/>
      <w:lvlText w:val=""/>
      <w:lvlJc w:val="left"/>
      <w:pPr>
        <w:ind w:left="2789" w:hanging="420"/>
      </w:pPr>
      <w:rPr>
        <w:rFonts w:hint="default" w:ascii="Wingdings" w:hAnsi="Wingdings"/>
      </w:rPr>
    </w:lvl>
    <w:lvl w:ilvl="5" w:tentative="0">
      <w:start w:val="1"/>
      <w:numFmt w:val="bullet"/>
      <w:lvlText w:val=""/>
      <w:lvlJc w:val="left"/>
      <w:pPr>
        <w:ind w:left="3209" w:hanging="420"/>
      </w:pPr>
      <w:rPr>
        <w:rFonts w:hint="default" w:ascii="Wingdings" w:hAnsi="Wingdings"/>
      </w:rPr>
    </w:lvl>
    <w:lvl w:ilvl="6" w:tentative="0">
      <w:start w:val="1"/>
      <w:numFmt w:val="bullet"/>
      <w:lvlText w:val=""/>
      <w:lvlJc w:val="left"/>
      <w:pPr>
        <w:ind w:left="3629" w:hanging="420"/>
      </w:pPr>
      <w:rPr>
        <w:rFonts w:hint="default" w:ascii="Wingdings" w:hAnsi="Wingdings"/>
      </w:rPr>
    </w:lvl>
    <w:lvl w:ilvl="7" w:tentative="0">
      <w:start w:val="1"/>
      <w:numFmt w:val="bullet"/>
      <w:lvlText w:val=""/>
      <w:lvlJc w:val="left"/>
      <w:pPr>
        <w:ind w:left="4049" w:hanging="420"/>
      </w:pPr>
      <w:rPr>
        <w:rFonts w:hint="default" w:ascii="Wingdings" w:hAnsi="Wingdings"/>
      </w:rPr>
    </w:lvl>
    <w:lvl w:ilvl="8" w:tentative="0">
      <w:start w:val="1"/>
      <w:numFmt w:val="bullet"/>
      <w:lvlText w:val=""/>
      <w:lvlJc w:val="left"/>
      <w:pPr>
        <w:ind w:left="4469" w:hanging="420"/>
      </w:pPr>
      <w:rPr>
        <w:rFonts w:hint="default" w:ascii="Wingdings" w:hAnsi="Wingdings"/>
      </w:rPr>
    </w:lvl>
  </w:abstractNum>
  <w:abstractNum w:abstractNumId="31">
    <w:nsid w:val="42807BB9"/>
    <w:multiLevelType w:val="multilevel"/>
    <w:tmpl w:val="42807BB9"/>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2">
    <w:nsid w:val="4DFB6212"/>
    <w:multiLevelType w:val="multilevel"/>
    <w:tmpl w:val="4DFB6212"/>
    <w:lvl w:ilvl="0" w:tentative="0">
      <w:start w:val="2"/>
      <w:numFmt w:val="decimal"/>
      <w:lvlText w:val="%1"/>
      <w:lvlJc w:val="left"/>
      <w:pPr>
        <w:ind w:left="360" w:hanging="360"/>
      </w:pPr>
      <w:rPr>
        <w:rFonts w:hint="default" w:hAnsi="Times New Roman"/>
      </w:rPr>
    </w:lvl>
    <w:lvl w:ilvl="1" w:tentative="0">
      <w:start w:val="1"/>
      <w:numFmt w:val="decimal"/>
      <w:lvlText w:val="%1.%2"/>
      <w:lvlJc w:val="left"/>
      <w:pPr>
        <w:ind w:left="721" w:hanging="360"/>
      </w:pPr>
      <w:rPr>
        <w:rFonts w:hint="default" w:hAnsi="Times New Roman"/>
      </w:rPr>
    </w:lvl>
    <w:lvl w:ilvl="2" w:tentative="0">
      <w:start w:val="1"/>
      <w:numFmt w:val="decimal"/>
      <w:lvlText w:val="%1.%2.%3"/>
      <w:lvlJc w:val="left"/>
      <w:pPr>
        <w:ind w:left="1442" w:hanging="720"/>
      </w:pPr>
      <w:rPr>
        <w:rFonts w:hint="default" w:hAnsi="Times New Roman"/>
      </w:rPr>
    </w:lvl>
    <w:lvl w:ilvl="3" w:tentative="0">
      <w:start w:val="1"/>
      <w:numFmt w:val="decimal"/>
      <w:lvlText w:val="%1.%2.%3.%4"/>
      <w:lvlJc w:val="left"/>
      <w:pPr>
        <w:ind w:left="2163" w:hanging="1080"/>
      </w:pPr>
      <w:rPr>
        <w:rFonts w:hint="default" w:hAnsi="Times New Roman"/>
      </w:rPr>
    </w:lvl>
    <w:lvl w:ilvl="4" w:tentative="0">
      <w:start w:val="1"/>
      <w:numFmt w:val="decimal"/>
      <w:lvlText w:val="%1.%2.%3.%4.%5"/>
      <w:lvlJc w:val="left"/>
      <w:pPr>
        <w:ind w:left="2524" w:hanging="1080"/>
      </w:pPr>
      <w:rPr>
        <w:rFonts w:hint="default" w:hAnsi="Times New Roman"/>
      </w:rPr>
    </w:lvl>
    <w:lvl w:ilvl="5" w:tentative="0">
      <w:start w:val="1"/>
      <w:numFmt w:val="decimal"/>
      <w:lvlText w:val="%1.%2.%3.%4.%5.%6"/>
      <w:lvlJc w:val="left"/>
      <w:pPr>
        <w:ind w:left="3245" w:hanging="1440"/>
      </w:pPr>
      <w:rPr>
        <w:rFonts w:hint="default" w:hAnsi="Times New Roman"/>
      </w:rPr>
    </w:lvl>
    <w:lvl w:ilvl="6" w:tentative="0">
      <w:start w:val="1"/>
      <w:numFmt w:val="decimal"/>
      <w:lvlText w:val="%1.%2.%3.%4.%5.%6.%7"/>
      <w:lvlJc w:val="left"/>
      <w:pPr>
        <w:ind w:left="3966" w:hanging="1800"/>
      </w:pPr>
      <w:rPr>
        <w:rFonts w:hint="default" w:hAnsi="Times New Roman"/>
      </w:rPr>
    </w:lvl>
    <w:lvl w:ilvl="7" w:tentative="0">
      <w:start w:val="1"/>
      <w:numFmt w:val="decimal"/>
      <w:lvlText w:val="%1.%2.%3.%4.%5.%6.%7.%8"/>
      <w:lvlJc w:val="left"/>
      <w:pPr>
        <w:ind w:left="4327" w:hanging="1800"/>
      </w:pPr>
      <w:rPr>
        <w:rFonts w:hint="default" w:hAnsi="Times New Roman"/>
      </w:rPr>
    </w:lvl>
    <w:lvl w:ilvl="8" w:tentative="0">
      <w:start w:val="1"/>
      <w:numFmt w:val="decimal"/>
      <w:lvlText w:val="%1.%2.%3.%4.%5.%6.%7.%8.%9"/>
      <w:lvlJc w:val="left"/>
      <w:pPr>
        <w:ind w:left="5048" w:hanging="2160"/>
      </w:pPr>
      <w:rPr>
        <w:rFonts w:hint="default" w:hAnsi="Times New Roman"/>
      </w:rPr>
    </w:lvl>
  </w:abstractNum>
  <w:abstractNum w:abstractNumId="33">
    <w:nsid w:val="52A66A12"/>
    <w:multiLevelType w:val="multilevel"/>
    <w:tmpl w:val="52A66A12"/>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4">
    <w:nsid w:val="56333307"/>
    <w:multiLevelType w:val="multilevel"/>
    <w:tmpl w:val="56333307"/>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5">
    <w:nsid w:val="5832430D"/>
    <w:multiLevelType w:val="multilevel"/>
    <w:tmpl w:val="5832430D"/>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6">
    <w:nsid w:val="59043092"/>
    <w:multiLevelType w:val="multilevel"/>
    <w:tmpl w:val="59043092"/>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7">
    <w:nsid w:val="5B08027B"/>
    <w:multiLevelType w:val="multilevel"/>
    <w:tmpl w:val="5B08027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8">
    <w:nsid w:val="5B2F7035"/>
    <w:multiLevelType w:val="multilevel"/>
    <w:tmpl w:val="5B2F7035"/>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9">
    <w:nsid w:val="5BC6169A"/>
    <w:multiLevelType w:val="multilevel"/>
    <w:tmpl w:val="5BC6169A"/>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0">
    <w:nsid w:val="5D1F3E5E"/>
    <w:multiLevelType w:val="multilevel"/>
    <w:tmpl w:val="5D1F3E5E"/>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1">
    <w:nsid w:val="5DDA2C07"/>
    <w:multiLevelType w:val="multilevel"/>
    <w:tmpl w:val="5DDA2C07"/>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2">
    <w:nsid w:val="5E1F254F"/>
    <w:multiLevelType w:val="multilevel"/>
    <w:tmpl w:val="5E1F254F"/>
    <w:lvl w:ilvl="0" w:tentative="0">
      <w:start w:val="1"/>
      <w:numFmt w:val="decimal"/>
      <w:lvlText w:val="%1"/>
      <w:lvlJc w:val="left"/>
      <w:pPr>
        <w:ind w:left="405" w:hanging="405"/>
      </w:pPr>
      <w:rPr>
        <w:rFonts w:hint="default"/>
      </w:rPr>
    </w:lvl>
    <w:lvl w:ilvl="1" w:tentative="0">
      <w:start w:val="1"/>
      <w:numFmt w:val="decimal"/>
      <w:lvlText w:val="%1.%2"/>
      <w:lvlJc w:val="left"/>
      <w:pPr>
        <w:ind w:left="766" w:hanging="405"/>
      </w:pPr>
      <w:rPr>
        <w:rFonts w:hint="default"/>
      </w:rPr>
    </w:lvl>
    <w:lvl w:ilvl="2" w:tentative="0">
      <w:start w:val="1"/>
      <w:numFmt w:val="decimal"/>
      <w:lvlText w:val="%1.%2.%3"/>
      <w:lvlJc w:val="left"/>
      <w:pPr>
        <w:ind w:left="1442" w:hanging="720"/>
      </w:pPr>
      <w:rPr>
        <w:rFonts w:hint="default"/>
      </w:rPr>
    </w:lvl>
    <w:lvl w:ilvl="3" w:tentative="0">
      <w:start w:val="1"/>
      <w:numFmt w:val="decimal"/>
      <w:lvlText w:val="%1.%2.%3.%4"/>
      <w:lvlJc w:val="left"/>
      <w:pPr>
        <w:ind w:left="2163" w:hanging="1080"/>
      </w:pPr>
      <w:rPr>
        <w:rFonts w:hint="default"/>
      </w:rPr>
    </w:lvl>
    <w:lvl w:ilvl="4" w:tentative="0">
      <w:start w:val="1"/>
      <w:numFmt w:val="decimal"/>
      <w:lvlText w:val="%1.%2.%3.%4.%5"/>
      <w:lvlJc w:val="left"/>
      <w:pPr>
        <w:ind w:left="2524" w:hanging="1080"/>
      </w:pPr>
      <w:rPr>
        <w:rFonts w:hint="default"/>
      </w:rPr>
    </w:lvl>
    <w:lvl w:ilvl="5" w:tentative="0">
      <w:start w:val="1"/>
      <w:numFmt w:val="decimal"/>
      <w:lvlText w:val="%1.%2.%3.%4.%5.%6"/>
      <w:lvlJc w:val="left"/>
      <w:pPr>
        <w:ind w:left="3245" w:hanging="1440"/>
      </w:pPr>
      <w:rPr>
        <w:rFonts w:hint="default"/>
      </w:rPr>
    </w:lvl>
    <w:lvl w:ilvl="6" w:tentative="0">
      <w:start w:val="1"/>
      <w:numFmt w:val="decimal"/>
      <w:lvlText w:val="%1.%2.%3.%4.%5.%6.%7"/>
      <w:lvlJc w:val="left"/>
      <w:pPr>
        <w:ind w:left="3966" w:hanging="1800"/>
      </w:pPr>
      <w:rPr>
        <w:rFonts w:hint="default"/>
      </w:rPr>
    </w:lvl>
    <w:lvl w:ilvl="7" w:tentative="0">
      <w:start w:val="1"/>
      <w:numFmt w:val="decimal"/>
      <w:lvlText w:val="%1.%2.%3.%4.%5.%6.%7.%8"/>
      <w:lvlJc w:val="left"/>
      <w:pPr>
        <w:ind w:left="4327" w:hanging="1800"/>
      </w:pPr>
      <w:rPr>
        <w:rFonts w:hint="default"/>
      </w:rPr>
    </w:lvl>
    <w:lvl w:ilvl="8" w:tentative="0">
      <w:start w:val="1"/>
      <w:numFmt w:val="decimal"/>
      <w:lvlText w:val="%1.%2.%3.%4.%5.%6.%7.%8.%9"/>
      <w:lvlJc w:val="left"/>
      <w:pPr>
        <w:ind w:left="5048" w:hanging="2160"/>
      </w:pPr>
      <w:rPr>
        <w:rFonts w:hint="default"/>
      </w:rPr>
    </w:lvl>
  </w:abstractNum>
  <w:abstractNum w:abstractNumId="43">
    <w:nsid w:val="62726868"/>
    <w:multiLevelType w:val="multilevel"/>
    <w:tmpl w:val="62726868"/>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4">
    <w:nsid w:val="62790F24"/>
    <w:multiLevelType w:val="multilevel"/>
    <w:tmpl w:val="62790F2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5">
    <w:nsid w:val="63C53844"/>
    <w:multiLevelType w:val="multilevel"/>
    <w:tmpl w:val="63C5384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6">
    <w:nsid w:val="676A0D6C"/>
    <w:multiLevelType w:val="multilevel"/>
    <w:tmpl w:val="676A0D6C"/>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7">
    <w:nsid w:val="686A7982"/>
    <w:multiLevelType w:val="multilevel"/>
    <w:tmpl w:val="686A7982"/>
    <w:lvl w:ilvl="0" w:tentative="0">
      <w:start w:val="1"/>
      <w:numFmt w:val="bullet"/>
      <w:lvlText w:val=""/>
      <w:lvlJc w:val="left"/>
      <w:pPr>
        <w:ind w:left="1589" w:hanging="420"/>
      </w:pPr>
      <w:rPr>
        <w:rFonts w:hint="default" w:ascii="Wingdings" w:hAnsi="Wingdings"/>
      </w:rPr>
    </w:lvl>
    <w:lvl w:ilvl="1" w:tentative="0">
      <w:start w:val="1"/>
      <w:numFmt w:val="bullet"/>
      <w:lvlText w:val=""/>
      <w:lvlJc w:val="left"/>
      <w:pPr>
        <w:ind w:left="2009" w:hanging="420"/>
      </w:pPr>
      <w:rPr>
        <w:rFonts w:hint="default" w:ascii="Wingdings" w:hAnsi="Wingdings"/>
      </w:rPr>
    </w:lvl>
    <w:lvl w:ilvl="2" w:tentative="0">
      <w:start w:val="1"/>
      <w:numFmt w:val="bullet"/>
      <w:lvlText w:val=""/>
      <w:lvlJc w:val="left"/>
      <w:pPr>
        <w:ind w:left="2429" w:hanging="420"/>
      </w:pPr>
      <w:rPr>
        <w:rFonts w:hint="default" w:ascii="Wingdings" w:hAnsi="Wingdings"/>
      </w:rPr>
    </w:lvl>
    <w:lvl w:ilvl="3" w:tentative="0">
      <w:start w:val="1"/>
      <w:numFmt w:val="bullet"/>
      <w:lvlText w:val=""/>
      <w:lvlJc w:val="left"/>
      <w:pPr>
        <w:ind w:left="2849" w:hanging="420"/>
      </w:pPr>
      <w:rPr>
        <w:rFonts w:hint="default" w:ascii="Wingdings" w:hAnsi="Wingdings"/>
      </w:rPr>
    </w:lvl>
    <w:lvl w:ilvl="4" w:tentative="0">
      <w:start w:val="1"/>
      <w:numFmt w:val="bullet"/>
      <w:lvlText w:val=""/>
      <w:lvlJc w:val="left"/>
      <w:pPr>
        <w:ind w:left="3269" w:hanging="420"/>
      </w:pPr>
      <w:rPr>
        <w:rFonts w:hint="default" w:ascii="Wingdings" w:hAnsi="Wingdings"/>
      </w:rPr>
    </w:lvl>
    <w:lvl w:ilvl="5" w:tentative="0">
      <w:start w:val="1"/>
      <w:numFmt w:val="bullet"/>
      <w:lvlText w:val=""/>
      <w:lvlJc w:val="left"/>
      <w:pPr>
        <w:ind w:left="3689" w:hanging="420"/>
      </w:pPr>
      <w:rPr>
        <w:rFonts w:hint="default" w:ascii="Wingdings" w:hAnsi="Wingdings"/>
      </w:rPr>
    </w:lvl>
    <w:lvl w:ilvl="6" w:tentative="0">
      <w:start w:val="1"/>
      <w:numFmt w:val="bullet"/>
      <w:lvlText w:val=""/>
      <w:lvlJc w:val="left"/>
      <w:pPr>
        <w:ind w:left="4109" w:hanging="420"/>
      </w:pPr>
      <w:rPr>
        <w:rFonts w:hint="default" w:ascii="Wingdings" w:hAnsi="Wingdings"/>
      </w:rPr>
    </w:lvl>
    <w:lvl w:ilvl="7" w:tentative="0">
      <w:start w:val="1"/>
      <w:numFmt w:val="bullet"/>
      <w:lvlText w:val=""/>
      <w:lvlJc w:val="left"/>
      <w:pPr>
        <w:ind w:left="4529" w:hanging="420"/>
      </w:pPr>
      <w:rPr>
        <w:rFonts w:hint="default" w:ascii="Wingdings" w:hAnsi="Wingdings"/>
      </w:rPr>
    </w:lvl>
    <w:lvl w:ilvl="8" w:tentative="0">
      <w:start w:val="1"/>
      <w:numFmt w:val="bullet"/>
      <w:lvlText w:val=""/>
      <w:lvlJc w:val="left"/>
      <w:pPr>
        <w:ind w:left="4949" w:hanging="420"/>
      </w:pPr>
      <w:rPr>
        <w:rFonts w:hint="default" w:ascii="Wingdings" w:hAnsi="Wingdings"/>
      </w:rPr>
    </w:lvl>
  </w:abstractNum>
  <w:abstractNum w:abstractNumId="48">
    <w:nsid w:val="6ADB1706"/>
    <w:multiLevelType w:val="multilevel"/>
    <w:tmpl w:val="6ADB1706"/>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9">
    <w:nsid w:val="6BD63672"/>
    <w:multiLevelType w:val="multilevel"/>
    <w:tmpl w:val="6BD63672"/>
    <w:lvl w:ilvl="0" w:tentative="0">
      <w:start w:val="1"/>
      <w:numFmt w:val="bullet"/>
      <w:lvlText w:val=""/>
      <w:lvlJc w:val="left"/>
      <w:pPr>
        <w:ind w:left="2369" w:hanging="420"/>
      </w:pPr>
      <w:rPr>
        <w:rFonts w:hint="default" w:ascii="Wingdings" w:hAnsi="Wingdings"/>
      </w:rPr>
    </w:lvl>
    <w:lvl w:ilvl="1" w:tentative="0">
      <w:start w:val="1"/>
      <w:numFmt w:val="bullet"/>
      <w:lvlText w:val=""/>
      <w:lvlJc w:val="left"/>
      <w:pPr>
        <w:ind w:left="2789" w:hanging="420"/>
      </w:pPr>
      <w:rPr>
        <w:rFonts w:hint="default" w:ascii="Wingdings" w:hAnsi="Wingdings"/>
      </w:rPr>
    </w:lvl>
    <w:lvl w:ilvl="2" w:tentative="0">
      <w:start w:val="1"/>
      <w:numFmt w:val="bullet"/>
      <w:lvlText w:val=""/>
      <w:lvlJc w:val="left"/>
      <w:pPr>
        <w:ind w:left="3209" w:hanging="420"/>
      </w:pPr>
      <w:rPr>
        <w:rFonts w:hint="default" w:ascii="Wingdings" w:hAnsi="Wingdings"/>
      </w:rPr>
    </w:lvl>
    <w:lvl w:ilvl="3" w:tentative="0">
      <w:start w:val="1"/>
      <w:numFmt w:val="bullet"/>
      <w:lvlText w:val=""/>
      <w:lvlJc w:val="left"/>
      <w:pPr>
        <w:ind w:left="3629" w:hanging="420"/>
      </w:pPr>
      <w:rPr>
        <w:rFonts w:hint="default" w:ascii="Wingdings" w:hAnsi="Wingdings"/>
      </w:rPr>
    </w:lvl>
    <w:lvl w:ilvl="4" w:tentative="0">
      <w:start w:val="1"/>
      <w:numFmt w:val="bullet"/>
      <w:lvlText w:val=""/>
      <w:lvlJc w:val="left"/>
      <w:pPr>
        <w:ind w:left="4049" w:hanging="420"/>
      </w:pPr>
      <w:rPr>
        <w:rFonts w:hint="default" w:ascii="Wingdings" w:hAnsi="Wingdings"/>
      </w:rPr>
    </w:lvl>
    <w:lvl w:ilvl="5" w:tentative="0">
      <w:start w:val="1"/>
      <w:numFmt w:val="bullet"/>
      <w:lvlText w:val=""/>
      <w:lvlJc w:val="left"/>
      <w:pPr>
        <w:ind w:left="4469" w:hanging="420"/>
      </w:pPr>
      <w:rPr>
        <w:rFonts w:hint="default" w:ascii="Wingdings" w:hAnsi="Wingdings"/>
      </w:rPr>
    </w:lvl>
    <w:lvl w:ilvl="6" w:tentative="0">
      <w:start w:val="1"/>
      <w:numFmt w:val="bullet"/>
      <w:lvlText w:val=""/>
      <w:lvlJc w:val="left"/>
      <w:pPr>
        <w:ind w:left="4889" w:hanging="420"/>
      </w:pPr>
      <w:rPr>
        <w:rFonts w:hint="default" w:ascii="Wingdings" w:hAnsi="Wingdings"/>
      </w:rPr>
    </w:lvl>
    <w:lvl w:ilvl="7" w:tentative="0">
      <w:start w:val="1"/>
      <w:numFmt w:val="bullet"/>
      <w:lvlText w:val=""/>
      <w:lvlJc w:val="left"/>
      <w:pPr>
        <w:ind w:left="5309" w:hanging="420"/>
      </w:pPr>
      <w:rPr>
        <w:rFonts w:hint="default" w:ascii="Wingdings" w:hAnsi="Wingdings"/>
      </w:rPr>
    </w:lvl>
    <w:lvl w:ilvl="8" w:tentative="0">
      <w:start w:val="1"/>
      <w:numFmt w:val="bullet"/>
      <w:lvlText w:val=""/>
      <w:lvlJc w:val="left"/>
      <w:pPr>
        <w:ind w:left="5729" w:hanging="420"/>
      </w:pPr>
      <w:rPr>
        <w:rFonts w:hint="default" w:ascii="Wingdings" w:hAnsi="Wingdings"/>
      </w:rPr>
    </w:lvl>
  </w:abstractNum>
  <w:abstractNum w:abstractNumId="50">
    <w:nsid w:val="6CBE13F7"/>
    <w:multiLevelType w:val="multilevel"/>
    <w:tmpl w:val="6CBE13F7"/>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51">
    <w:nsid w:val="72F16491"/>
    <w:multiLevelType w:val="multilevel"/>
    <w:tmpl w:val="72F16491"/>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52">
    <w:nsid w:val="788F4E7E"/>
    <w:multiLevelType w:val="multilevel"/>
    <w:tmpl w:val="788F4E7E"/>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53">
    <w:nsid w:val="7A7531CD"/>
    <w:multiLevelType w:val="multilevel"/>
    <w:tmpl w:val="7A7531CD"/>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num w:numId="1">
    <w:abstractNumId w:val="9"/>
  </w:num>
  <w:num w:numId="2">
    <w:abstractNumId w:val="42"/>
  </w:num>
  <w:num w:numId="3">
    <w:abstractNumId w:val="20"/>
  </w:num>
  <w:num w:numId="4">
    <w:abstractNumId w:val="38"/>
  </w:num>
  <w:num w:numId="5">
    <w:abstractNumId w:val="50"/>
  </w:num>
  <w:num w:numId="6">
    <w:abstractNumId w:val="37"/>
  </w:num>
  <w:num w:numId="7">
    <w:abstractNumId w:val="26"/>
  </w:num>
  <w:num w:numId="8">
    <w:abstractNumId w:val="24"/>
  </w:num>
  <w:num w:numId="9">
    <w:abstractNumId w:val="21"/>
  </w:num>
  <w:num w:numId="10">
    <w:abstractNumId w:val="43"/>
  </w:num>
  <w:num w:numId="11">
    <w:abstractNumId w:val="32"/>
  </w:num>
  <w:num w:numId="12">
    <w:abstractNumId w:val="40"/>
  </w:num>
  <w:num w:numId="13">
    <w:abstractNumId w:val="6"/>
  </w:num>
  <w:num w:numId="14">
    <w:abstractNumId w:val="33"/>
  </w:num>
  <w:num w:numId="15">
    <w:abstractNumId w:val="41"/>
  </w:num>
  <w:num w:numId="16">
    <w:abstractNumId w:val="18"/>
  </w:num>
  <w:num w:numId="17">
    <w:abstractNumId w:val="53"/>
  </w:num>
  <w:num w:numId="18">
    <w:abstractNumId w:val="49"/>
  </w:num>
  <w:num w:numId="19">
    <w:abstractNumId w:val="0"/>
  </w:num>
  <w:num w:numId="20">
    <w:abstractNumId w:val="17"/>
  </w:num>
  <w:num w:numId="21">
    <w:abstractNumId w:val="11"/>
  </w:num>
  <w:num w:numId="22">
    <w:abstractNumId w:val="35"/>
  </w:num>
  <w:num w:numId="23">
    <w:abstractNumId w:val="15"/>
  </w:num>
  <w:num w:numId="24">
    <w:abstractNumId w:val="7"/>
  </w:num>
  <w:num w:numId="25">
    <w:abstractNumId w:val="34"/>
  </w:num>
  <w:num w:numId="26">
    <w:abstractNumId w:val="4"/>
  </w:num>
  <w:num w:numId="27">
    <w:abstractNumId w:val="45"/>
  </w:num>
  <w:num w:numId="28">
    <w:abstractNumId w:val="51"/>
  </w:num>
  <w:num w:numId="29">
    <w:abstractNumId w:val="31"/>
  </w:num>
  <w:num w:numId="30">
    <w:abstractNumId w:val="8"/>
  </w:num>
  <w:num w:numId="31">
    <w:abstractNumId w:val="13"/>
  </w:num>
  <w:num w:numId="32">
    <w:abstractNumId w:val="46"/>
  </w:num>
  <w:num w:numId="33">
    <w:abstractNumId w:val="27"/>
  </w:num>
  <w:num w:numId="34">
    <w:abstractNumId w:val="28"/>
  </w:num>
  <w:num w:numId="35">
    <w:abstractNumId w:val="3"/>
  </w:num>
  <w:num w:numId="36">
    <w:abstractNumId w:val="22"/>
  </w:num>
  <w:num w:numId="37">
    <w:abstractNumId w:val="2"/>
  </w:num>
  <w:num w:numId="38">
    <w:abstractNumId w:val="16"/>
  </w:num>
  <w:num w:numId="39">
    <w:abstractNumId w:val="39"/>
  </w:num>
  <w:num w:numId="40">
    <w:abstractNumId w:val="48"/>
  </w:num>
  <w:num w:numId="41">
    <w:abstractNumId w:val="5"/>
  </w:num>
  <w:num w:numId="42">
    <w:abstractNumId w:val="23"/>
  </w:num>
  <w:num w:numId="43">
    <w:abstractNumId w:val="29"/>
  </w:num>
  <w:num w:numId="44">
    <w:abstractNumId w:val="36"/>
  </w:num>
  <w:num w:numId="45">
    <w:abstractNumId w:val="1"/>
  </w:num>
  <w:num w:numId="46">
    <w:abstractNumId w:val="12"/>
  </w:num>
  <w:num w:numId="47">
    <w:abstractNumId w:val="44"/>
  </w:num>
  <w:num w:numId="48">
    <w:abstractNumId w:val="30"/>
  </w:num>
  <w:num w:numId="49">
    <w:abstractNumId w:val="19"/>
  </w:num>
  <w:num w:numId="50">
    <w:abstractNumId w:val="14"/>
  </w:num>
  <w:num w:numId="51">
    <w:abstractNumId w:val="25"/>
  </w:num>
  <w:num w:numId="52">
    <w:abstractNumId w:val="10"/>
  </w:num>
  <w:num w:numId="53">
    <w:abstractNumId w:val="47"/>
  </w:num>
  <w:num w:numId="5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0A74"/>
    <w:rsid w:val="00000671"/>
    <w:rsid w:val="00002925"/>
    <w:rsid w:val="00011133"/>
    <w:rsid w:val="00015726"/>
    <w:rsid w:val="000165D9"/>
    <w:rsid w:val="00022B2B"/>
    <w:rsid w:val="00023F86"/>
    <w:rsid w:val="0002519A"/>
    <w:rsid w:val="00030876"/>
    <w:rsid w:val="00031A31"/>
    <w:rsid w:val="00033321"/>
    <w:rsid w:val="000353A7"/>
    <w:rsid w:val="000355D1"/>
    <w:rsid w:val="000404DA"/>
    <w:rsid w:val="0004667E"/>
    <w:rsid w:val="00052793"/>
    <w:rsid w:val="00052C1D"/>
    <w:rsid w:val="00052F56"/>
    <w:rsid w:val="00057CD2"/>
    <w:rsid w:val="000611D7"/>
    <w:rsid w:val="00061FE4"/>
    <w:rsid w:val="00066129"/>
    <w:rsid w:val="0006751C"/>
    <w:rsid w:val="00067DD4"/>
    <w:rsid w:val="00070C44"/>
    <w:rsid w:val="00070EBC"/>
    <w:rsid w:val="00073AFE"/>
    <w:rsid w:val="00073E8B"/>
    <w:rsid w:val="00074584"/>
    <w:rsid w:val="00075246"/>
    <w:rsid w:val="00083980"/>
    <w:rsid w:val="0008561F"/>
    <w:rsid w:val="00086CBB"/>
    <w:rsid w:val="00087F1A"/>
    <w:rsid w:val="00094EDE"/>
    <w:rsid w:val="00096B8E"/>
    <w:rsid w:val="00096C5C"/>
    <w:rsid w:val="000A0D8D"/>
    <w:rsid w:val="000A19A2"/>
    <w:rsid w:val="000A213C"/>
    <w:rsid w:val="000A4748"/>
    <w:rsid w:val="000B3115"/>
    <w:rsid w:val="000B32C3"/>
    <w:rsid w:val="000C1598"/>
    <w:rsid w:val="000C4546"/>
    <w:rsid w:val="000C5623"/>
    <w:rsid w:val="000C75BC"/>
    <w:rsid w:val="000C78D0"/>
    <w:rsid w:val="000D1A61"/>
    <w:rsid w:val="000D2765"/>
    <w:rsid w:val="000D4EEC"/>
    <w:rsid w:val="000D4FD4"/>
    <w:rsid w:val="000D5CCF"/>
    <w:rsid w:val="000E35FD"/>
    <w:rsid w:val="000F0B4B"/>
    <w:rsid w:val="000F3BAC"/>
    <w:rsid w:val="000F5955"/>
    <w:rsid w:val="00100450"/>
    <w:rsid w:val="00102739"/>
    <w:rsid w:val="001065E4"/>
    <w:rsid w:val="00113EAB"/>
    <w:rsid w:val="00116B95"/>
    <w:rsid w:val="001254DF"/>
    <w:rsid w:val="00135C44"/>
    <w:rsid w:val="00136E52"/>
    <w:rsid w:val="00142562"/>
    <w:rsid w:val="00142CC7"/>
    <w:rsid w:val="00146283"/>
    <w:rsid w:val="0014744A"/>
    <w:rsid w:val="00147555"/>
    <w:rsid w:val="00147A1F"/>
    <w:rsid w:val="001501E2"/>
    <w:rsid w:val="00152543"/>
    <w:rsid w:val="00157EF3"/>
    <w:rsid w:val="00161BA5"/>
    <w:rsid w:val="00171A25"/>
    <w:rsid w:val="001747CA"/>
    <w:rsid w:val="001855F1"/>
    <w:rsid w:val="0018660D"/>
    <w:rsid w:val="001869C7"/>
    <w:rsid w:val="00186E5C"/>
    <w:rsid w:val="001902D2"/>
    <w:rsid w:val="00192EB5"/>
    <w:rsid w:val="00193BF0"/>
    <w:rsid w:val="00193BF4"/>
    <w:rsid w:val="001A4A90"/>
    <w:rsid w:val="001A5630"/>
    <w:rsid w:val="001A5CB2"/>
    <w:rsid w:val="001B17DD"/>
    <w:rsid w:val="001B1E26"/>
    <w:rsid w:val="001B6B4B"/>
    <w:rsid w:val="001C144E"/>
    <w:rsid w:val="001C2C3C"/>
    <w:rsid w:val="001C4259"/>
    <w:rsid w:val="001C4488"/>
    <w:rsid w:val="001C6332"/>
    <w:rsid w:val="001C7A9F"/>
    <w:rsid w:val="001D14CD"/>
    <w:rsid w:val="001D1F3C"/>
    <w:rsid w:val="001D2C5A"/>
    <w:rsid w:val="001D304C"/>
    <w:rsid w:val="001D5D49"/>
    <w:rsid w:val="001D646A"/>
    <w:rsid w:val="001D70A9"/>
    <w:rsid w:val="001D774B"/>
    <w:rsid w:val="001E1C30"/>
    <w:rsid w:val="001E6600"/>
    <w:rsid w:val="001F0DE5"/>
    <w:rsid w:val="001F4D53"/>
    <w:rsid w:val="001F7491"/>
    <w:rsid w:val="001F796B"/>
    <w:rsid w:val="002006BC"/>
    <w:rsid w:val="00201CEA"/>
    <w:rsid w:val="00213E6E"/>
    <w:rsid w:val="00214F6B"/>
    <w:rsid w:val="002167A2"/>
    <w:rsid w:val="0021700E"/>
    <w:rsid w:val="00232327"/>
    <w:rsid w:val="00240F3B"/>
    <w:rsid w:val="002424E7"/>
    <w:rsid w:val="0024338E"/>
    <w:rsid w:val="002438DA"/>
    <w:rsid w:val="00250EA6"/>
    <w:rsid w:val="00253FDF"/>
    <w:rsid w:val="00262CE3"/>
    <w:rsid w:val="0026399F"/>
    <w:rsid w:val="00264385"/>
    <w:rsid w:val="002652BF"/>
    <w:rsid w:val="00265D78"/>
    <w:rsid w:val="002677CC"/>
    <w:rsid w:val="00271C98"/>
    <w:rsid w:val="00291913"/>
    <w:rsid w:val="002950A7"/>
    <w:rsid w:val="002A100F"/>
    <w:rsid w:val="002A4C43"/>
    <w:rsid w:val="002A6539"/>
    <w:rsid w:val="002A7D38"/>
    <w:rsid w:val="002B032F"/>
    <w:rsid w:val="002B03BD"/>
    <w:rsid w:val="002B0A74"/>
    <w:rsid w:val="002B216B"/>
    <w:rsid w:val="002B281B"/>
    <w:rsid w:val="002B3B9C"/>
    <w:rsid w:val="002B6500"/>
    <w:rsid w:val="002B6A2D"/>
    <w:rsid w:val="002B7DD7"/>
    <w:rsid w:val="002B7E2F"/>
    <w:rsid w:val="002C0879"/>
    <w:rsid w:val="002C39A6"/>
    <w:rsid w:val="002C78FE"/>
    <w:rsid w:val="002D14E2"/>
    <w:rsid w:val="002D4DD0"/>
    <w:rsid w:val="002E2B07"/>
    <w:rsid w:val="002E4482"/>
    <w:rsid w:val="002F0B37"/>
    <w:rsid w:val="002F2785"/>
    <w:rsid w:val="002F43FA"/>
    <w:rsid w:val="00301981"/>
    <w:rsid w:val="0030640E"/>
    <w:rsid w:val="00310654"/>
    <w:rsid w:val="0031245B"/>
    <w:rsid w:val="003160C0"/>
    <w:rsid w:val="003221C0"/>
    <w:rsid w:val="00322BA2"/>
    <w:rsid w:val="00322E47"/>
    <w:rsid w:val="00326D9E"/>
    <w:rsid w:val="003308D7"/>
    <w:rsid w:val="00333BFE"/>
    <w:rsid w:val="00335DD4"/>
    <w:rsid w:val="00343A59"/>
    <w:rsid w:val="00344E6E"/>
    <w:rsid w:val="00345492"/>
    <w:rsid w:val="00347F07"/>
    <w:rsid w:val="003519E3"/>
    <w:rsid w:val="003572E7"/>
    <w:rsid w:val="00364CF2"/>
    <w:rsid w:val="00366520"/>
    <w:rsid w:val="003666A7"/>
    <w:rsid w:val="00370CD4"/>
    <w:rsid w:val="0037191B"/>
    <w:rsid w:val="0037230C"/>
    <w:rsid w:val="00372913"/>
    <w:rsid w:val="00375F3D"/>
    <w:rsid w:val="00380FF4"/>
    <w:rsid w:val="003842A2"/>
    <w:rsid w:val="00387D88"/>
    <w:rsid w:val="0039197A"/>
    <w:rsid w:val="00395B2D"/>
    <w:rsid w:val="00397F35"/>
    <w:rsid w:val="003A06D7"/>
    <w:rsid w:val="003B5B4D"/>
    <w:rsid w:val="003B7F2B"/>
    <w:rsid w:val="003C0221"/>
    <w:rsid w:val="003C17DD"/>
    <w:rsid w:val="003C2095"/>
    <w:rsid w:val="003C3EF3"/>
    <w:rsid w:val="003C4975"/>
    <w:rsid w:val="003C51E1"/>
    <w:rsid w:val="003D529A"/>
    <w:rsid w:val="003E1970"/>
    <w:rsid w:val="003E529A"/>
    <w:rsid w:val="003F307F"/>
    <w:rsid w:val="003F4786"/>
    <w:rsid w:val="003F723B"/>
    <w:rsid w:val="004006AC"/>
    <w:rsid w:val="00402740"/>
    <w:rsid w:val="004027EE"/>
    <w:rsid w:val="00406BD7"/>
    <w:rsid w:val="00411443"/>
    <w:rsid w:val="00413604"/>
    <w:rsid w:val="00413E66"/>
    <w:rsid w:val="0041624E"/>
    <w:rsid w:val="004169ED"/>
    <w:rsid w:val="00417688"/>
    <w:rsid w:val="00420D11"/>
    <w:rsid w:val="00425451"/>
    <w:rsid w:val="00430922"/>
    <w:rsid w:val="004348EE"/>
    <w:rsid w:val="00435FE8"/>
    <w:rsid w:val="004407FB"/>
    <w:rsid w:val="00445BE9"/>
    <w:rsid w:val="0045247D"/>
    <w:rsid w:val="0045613B"/>
    <w:rsid w:val="0046295B"/>
    <w:rsid w:val="00463924"/>
    <w:rsid w:val="004645E0"/>
    <w:rsid w:val="00465538"/>
    <w:rsid w:val="00466106"/>
    <w:rsid w:val="004724CD"/>
    <w:rsid w:val="004746EA"/>
    <w:rsid w:val="00475984"/>
    <w:rsid w:val="0048124C"/>
    <w:rsid w:val="0048199D"/>
    <w:rsid w:val="004912CC"/>
    <w:rsid w:val="004974BD"/>
    <w:rsid w:val="004A11E6"/>
    <w:rsid w:val="004A23C1"/>
    <w:rsid w:val="004A2452"/>
    <w:rsid w:val="004A41C5"/>
    <w:rsid w:val="004B486A"/>
    <w:rsid w:val="004C7FC2"/>
    <w:rsid w:val="004D66C6"/>
    <w:rsid w:val="004D6B47"/>
    <w:rsid w:val="004E0D1C"/>
    <w:rsid w:val="004F27C6"/>
    <w:rsid w:val="004F49F0"/>
    <w:rsid w:val="00501A2F"/>
    <w:rsid w:val="00506602"/>
    <w:rsid w:val="00513D04"/>
    <w:rsid w:val="00526A0E"/>
    <w:rsid w:val="00532934"/>
    <w:rsid w:val="005360A7"/>
    <w:rsid w:val="005444F4"/>
    <w:rsid w:val="005561E7"/>
    <w:rsid w:val="0056078B"/>
    <w:rsid w:val="00560899"/>
    <w:rsid w:val="00571C52"/>
    <w:rsid w:val="005732C7"/>
    <w:rsid w:val="005743F9"/>
    <w:rsid w:val="00581EE3"/>
    <w:rsid w:val="00585CA4"/>
    <w:rsid w:val="00586965"/>
    <w:rsid w:val="00596028"/>
    <w:rsid w:val="00596997"/>
    <w:rsid w:val="00597AC2"/>
    <w:rsid w:val="00597C00"/>
    <w:rsid w:val="00597D0D"/>
    <w:rsid w:val="005A0CB8"/>
    <w:rsid w:val="005A58D7"/>
    <w:rsid w:val="005A7674"/>
    <w:rsid w:val="005B3CF6"/>
    <w:rsid w:val="005B6217"/>
    <w:rsid w:val="005B653D"/>
    <w:rsid w:val="005C4225"/>
    <w:rsid w:val="005C66B3"/>
    <w:rsid w:val="005C773E"/>
    <w:rsid w:val="005D07CC"/>
    <w:rsid w:val="005D242D"/>
    <w:rsid w:val="005D4013"/>
    <w:rsid w:val="005D5A09"/>
    <w:rsid w:val="005D6D0A"/>
    <w:rsid w:val="005D706A"/>
    <w:rsid w:val="005E0767"/>
    <w:rsid w:val="005E4AA4"/>
    <w:rsid w:val="005E5755"/>
    <w:rsid w:val="005F1FFC"/>
    <w:rsid w:val="005F40D5"/>
    <w:rsid w:val="006019C4"/>
    <w:rsid w:val="00611252"/>
    <w:rsid w:val="0061313A"/>
    <w:rsid w:val="00613392"/>
    <w:rsid w:val="00614AD3"/>
    <w:rsid w:val="00615C85"/>
    <w:rsid w:val="00627DDF"/>
    <w:rsid w:val="00637DD0"/>
    <w:rsid w:val="006420D4"/>
    <w:rsid w:val="006473D9"/>
    <w:rsid w:val="0065015A"/>
    <w:rsid w:val="006507C3"/>
    <w:rsid w:val="00652674"/>
    <w:rsid w:val="0065428D"/>
    <w:rsid w:val="00654799"/>
    <w:rsid w:val="00662320"/>
    <w:rsid w:val="00666442"/>
    <w:rsid w:val="00671E44"/>
    <w:rsid w:val="00673856"/>
    <w:rsid w:val="006741A9"/>
    <w:rsid w:val="00675148"/>
    <w:rsid w:val="00677297"/>
    <w:rsid w:val="006820A7"/>
    <w:rsid w:val="0068266C"/>
    <w:rsid w:val="0068397B"/>
    <w:rsid w:val="00684E18"/>
    <w:rsid w:val="0068769D"/>
    <w:rsid w:val="0069535C"/>
    <w:rsid w:val="0069632A"/>
    <w:rsid w:val="006A1740"/>
    <w:rsid w:val="006A671A"/>
    <w:rsid w:val="006B3569"/>
    <w:rsid w:val="006C13B7"/>
    <w:rsid w:val="006C20D6"/>
    <w:rsid w:val="006C5CD1"/>
    <w:rsid w:val="006D1227"/>
    <w:rsid w:val="006E7960"/>
    <w:rsid w:val="006F0C11"/>
    <w:rsid w:val="006F1770"/>
    <w:rsid w:val="006F342F"/>
    <w:rsid w:val="006F4F99"/>
    <w:rsid w:val="007000C2"/>
    <w:rsid w:val="00700370"/>
    <w:rsid w:val="00700CF3"/>
    <w:rsid w:val="00712D61"/>
    <w:rsid w:val="007135E5"/>
    <w:rsid w:val="007179D4"/>
    <w:rsid w:val="00723E04"/>
    <w:rsid w:val="0073047B"/>
    <w:rsid w:val="00730706"/>
    <w:rsid w:val="00731837"/>
    <w:rsid w:val="007364E6"/>
    <w:rsid w:val="00743970"/>
    <w:rsid w:val="007452D7"/>
    <w:rsid w:val="00752B76"/>
    <w:rsid w:val="00754375"/>
    <w:rsid w:val="00756299"/>
    <w:rsid w:val="00756B5D"/>
    <w:rsid w:val="00757CE4"/>
    <w:rsid w:val="00760733"/>
    <w:rsid w:val="007646AD"/>
    <w:rsid w:val="00774CE7"/>
    <w:rsid w:val="0078156D"/>
    <w:rsid w:val="00782730"/>
    <w:rsid w:val="00784BE8"/>
    <w:rsid w:val="00786BDB"/>
    <w:rsid w:val="007905ED"/>
    <w:rsid w:val="007907F6"/>
    <w:rsid w:val="00794B02"/>
    <w:rsid w:val="00795483"/>
    <w:rsid w:val="007A1690"/>
    <w:rsid w:val="007A4AD4"/>
    <w:rsid w:val="007B04A5"/>
    <w:rsid w:val="007B23FA"/>
    <w:rsid w:val="007D4370"/>
    <w:rsid w:val="007D51E0"/>
    <w:rsid w:val="007D6055"/>
    <w:rsid w:val="007E41B9"/>
    <w:rsid w:val="007E47F6"/>
    <w:rsid w:val="007F031F"/>
    <w:rsid w:val="007F6F96"/>
    <w:rsid w:val="00805A4C"/>
    <w:rsid w:val="00812C59"/>
    <w:rsid w:val="008179C1"/>
    <w:rsid w:val="00822B97"/>
    <w:rsid w:val="008250C5"/>
    <w:rsid w:val="00825A8D"/>
    <w:rsid w:val="008266D1"/>
    <w:rsid w:val="008267A8"/>
    <w:rsid w:val="0083397E"/>
    <w:rsid w:val="00833E82"/>
    <w:rsid w:val="0083660B"/>
    <w:rsid w:val="0083678E"/>
    <w:rsid w:val="00837884"/>
    <w:rsid w:val="00837A73"/>
    <w:rsid w:val="00842557"/>
    <w:rsid w:val="00843B9D"/>
    <w:rsid w:val="008443C2"/>
    <w:rsid w:val="008446D6"/>
    <w:rsid w:val="00855B79"/>
    <w:rsid w:val="008629CB"/>
    <w:rsid w:val="00866125"/>
    <w:rsid w:val="00872A86"/>
    <w:rsid w:val="0087605C"/>
    <w:rsid w:val="008939E4"/>
    <w:rsid w:val="008A3196"/>
    <w:rsid w:val="008A3387"/>
    <w:rsid w:val="008A4B68"/>
    <w:rsid w:val="008A4D2F"/>
    <w:rsid w:val="008B7A06"/>
    <w:rsid w:val="008D0F13"/>
    <w:rsid w:val="008D23C6"/>
    <w:rsid w:val="008D3347"/>
    <w:rsid w:val="008D4CF7"/>
    <w:rsid w:val="008D62CA"/>
    <w:rsid w:val="008E2003"/>
    <w:rsid w:val="008E4810"/>
    <w:rsid w:val="008E639E"/>
    <w:rsid w:val="008F0A83"/>
    <w:rsid w:val="008F4E50"/>
    <w:rsid w:val="008F5A22"/>
    <w:rsid w:val="008F6AF9"/>
    <w:rsid w:val="00900EBB"/>
    <w:rsid w:val="00904191"/>
    <w:rsid w:val="00905428"/>
    <w:rsid w:val="0090734D"/>
    <w:rsid w:val="00913A13"/>
    <w:rsid w:val="009165D6"/>
    <w:rsid w:val="00922841"/>
    <w:rsid w:val="009238F1"/>
    <w:rsid w:val="00926582"/>
    <w:rsid w:val="00930623"/>
    <w:rsid w:val="00933776"/>
    <w:rsid w:val="009343F1"/>
    <w:rsid w:val="009369C0"/>
    <w:rsid w:val="0093780F"/>
    <w:rsid w:val="0094518B"/>
    <w:rsid w:val="009506CE"/>
    <w:rsid w:val="00950BA0"/>
    <w:rsid w:val="00962A48"/>
    <w:rsid w:val="00970321"/>
    <w:rsid w:val="00971A88"/>
    <w:rsid w:val="00974FF0"/>
    <w:rsid w:val="00975ABF"/>
    <w:rsid w:val="009853B2"/>
    <w:rsid w:val="0099768C"/>
    <w:rsid w:val="009A4065"/>
    <w:rsid w:val="009A5C74"/>
    <w:rsid w:val="009A5E2C"/>
    <w:rsid w:val="009A6017"/>
    <w:rsid w:val="009B3ACD"/>
    <w:rsid w:val="009B3E15"/>
    <w:rsid w:val="009C1C28"/>
    <w:rsid w:val="009C75F4"/>
    <w:rsid w:val="009D54A6"/>
    <w:rsid w:val="009D55F4"/>
    <w:rsid w:val="009D5DBF"/>
    <w:rsid w:val="009D7634"/>
    <w:rsid w:val="009E09B2"/>
    <w:rsid w:val="009E1330"/>
    <w:rsid w:val="009E171E"/>
    <w:rsid w:val="009E7677"/>
    <w:rsid w:val="009F4FD1"/>
    <w:rsid w:val="00A074F6"/>
    <w:rsid w:val="00A10A5E"/>
    <w:rsid w:val="00A11D27"/>
    <w:rsid w:val="00A2037D"/>
    <w:rsid w:val="00A208C3"/>
    <w:rsid w:val="00A21D00"/>
    <w:rsid w:val="00A24D19"/>
    <w:rsid w:val="00A252D9"/>
    <w:rsid w:val="00A2570F"/>
    <w:rsid w:val="00A327B8"/>
    <w:rsid w:val="00A32D49"/>
    <w:rsid w:val="00A3538F"/>
    <w:rsid w:val="00A416E6"/>
    <w:rsid w:val="00A47EE6"/>
    <w:rsid w:val="00A515AD"/>
    <w:rsid w:val="00A5388E"/>
    <w:rsid w:val="00A570DB"/>
    <w:rsid w:val="00A61D89"/>
    <w:rsid w:val="00A63D59"/>
    <w:rsid w:val="00A71EE0"/>
    <w:rsid w:val="00A72BC0"/>
    <w:rsid w:val="00A74E5A"/>
    <w:rsid w:val="00A81D7A"/>
    <w:rsid w:val="00A83B28"/>
    <w:rsid w:val="00A875E5"/>
    <w:rsid w:val="00A909C7"/>
    <w:rsid w:val="00A90DEC"/>
    <w:rsid w:val="00A9203C"/>
    <w:rsid w:val="00A9226E"/>
    <w:rsid w:val="00A92CC7"/>
    <w:rsid w:val="00A961FB"/>
    <w:rsid w:val="00AA000F"/>
    <w:rsid w:val="00AB576F"/>
    <w:rsid w:val="00AC06AE"/>
    <w:rsid w:val="00AC4CA0"/>
    <w:rsid w:val="00AC5644"/>
    <w:rsid w:val="00AD790A"/>
    <w:rsid w:val="00AE06B3"/>
    <w:rsid w:val="00AE3028"/>
    <w:rsid w:val="00AE337D"/>
    <w:rsid w:val="00AF0658"/>
    <w:rsid w:val="00AF0B5B"/>
    <w:rsid w:val="00AF5689"/>
    <w:rsid w:val="00AF58F7"/>
    <w:rsid w:val="00AF794D"/>
    <w:rsid w:val="00B05378"/>
    <w:rsid w:val="00B11F6A"/>
    <w:rsid w:val="00B13A5B"/>
    <w:rsid w:val="00B140F7"/>
    <w:rsid w:val="00B1621E"/>
    <w:rsid w:val="00B20F07"/>
    <w:rsid w:val="00B25A4F"/>
    <w:rsid w:val="00B315F7"/>
    <w:rsid w:val="00B3161A"/>
    <w:rsid w:val="00B33439"/>
    <w:rsid w:val="00B33DD3"/>
    <w:rsid w:val="00B34791"/>
    <w:rsid w:val="00B35529"/>
    <w:rsid w:val="00B35C57"/>
    <w:rsid w:val="00B413DC"/>
    <w:rsid w:val="00B41722"/>
    <w:rsid w:val="00B4309E"/>
    <w:rsid w:val="00B5329D"/>
    <w:rsid w:val="00B562BA"/>
    <w:rsid w:val="00B57EA2"/>
    <w:rsid w:val="00B60666"/>
    <w:rsid w:val="00B636A3"/>
    <w:rsid w:val="00B66F48"/>
    <w:rsid w:val="00B67223"/>
    <w:rsid w:val="00B67B4B"/>
    <w:rsid w:val="00B715BD"/>
    <w:rsid w:val="00B75F43"/>
    <w:rsid w:val="00B8682B"/>
    <w:rsid w:val="00B87AD7"/>
    <w:rsid w:val="00B90019"/>
    <w:rsid w:val="00B925F3"/>
    <w:rsid w:val="00B933B8"/>
    <w:rsid w:val="00BA4323"/>
    <w:rsid w:val="00BB0997"/>
    <w:rsid w:val="00BB3772"/>
    <w:rsid w:val="00BB6026"/>
    <w:rsid w:val="00BB71BB"/>
    <w:rsid w:val="00BC35C6"/>
    <w:rsid w:val="00BC4CB0"/>
    <w:rsid w:val="00BC7A7B"/>
    <w:rsid w:val="00BC7C8D"/>
    <w:rsid w:val="00BD2324"/>
    <w:rsid w:val="00BD37AE"/>
    <w:rsid w:val="00BD4C12"/>
    <w:rsid w:val="00BD4C23"/>
    <w:rsid w:val="00BD5102"/>
    <w:rsid w:val="00BD55B0"/>
    <w:rsid w:val="00BD6F78"/>
    <w:rsid w:val="00BE2B85"/>
    <w:rsid w:val="00BE31C7"/>
    <w:rsid w:val="00BE4983"/>
    <w:rsid w:val="00BE5134"/>
    <w:rsid w:val="00BF1E44"/>
    <w:rsid w:val="00BF2727"/>
    <w:rsid w:val="00BF6D9B"/>
    <w:rsid w:val="00C05F4D"/>
    <w:rsid w:val="00C06B92"/>
    <w:rsid w:val="00C07073"/>
    <w:rsid w:val="00C11C67"/>
    <w:rsid w:val="00C1305A"/>
    <w:rsid w:val="00C15CF3"/>
    <w:rsid w:val="00C15D5A"/>
    <w:rsid w:val="00C1644E"/>
    <w:rsid w:val="00C20F32"/>
    <w:rsid w:val="00C22A2B"/>
    <w:rsid w:val="00C23EDD"/>
    <w:rsid w:val="00C24A05"/>
    <w:rsid w:val="00C27F81"/>
    <w:rsid w:val="00C33D7A"/>
    <w:rsid w:val="00C430FD"/>
    <w:rsid w:val="00C50FB2"/>
    <w:rsid w:val="00C51B18"/>
    <w:rsid w:val="00C5579A"/>
    <w:rsid w:val="00C64289"/>
    <w:rsid w:val="00C70723"/>
    <w:rsid w:val="00C7473B"/>
    <w:rsid w:val="00C81F3F"/>
    <w:rsid w:val="00C87AC9"/>
    <w:rsid w:val="00C91532"/>
    <w:rsid w:val="00C91E1A"/>
    <w:rsid w:val="00C93580"/>
    <w:rsid w:val="00C9417B"/>
    <w:rsid w:val="00C95DA4"/>
    <w:rsid w:val="00CA0824"/>
    <w:rsid w:val="00CB22C5"/>
    <w:rsid w:val="00CB3C91"/>
    <w:rsid w:val="00CB48F5"/>
    <w:rsid w:val="00CC10DB"/>
    <w:rsid w:val="00CC3AF8"/>
    <w:rsid w:val="00CC647F"/>
    <w:rsid w:val="00CD1534"/>
    <w:rsid w:val="00CD38AF"/>
    <w:rsid w:val="00CD4EA4"/>
    <w:rsid w:val="00CD583D"/>
    <w:rsid w:val="00CD7975"/>
    <w:rsid w:val="00CF139F"/>
    <w:rsid w:val="00CF24D3"/>
    <w:rsid w:val="00CF7D20"/>
    <w:rsid w:val="00D042D0"/>
    <w:rsid w:val="00D054B8"/>
    <w:rsid w:val="00D243B1"/>
    <w:rsid w:val="00D47A94"/>
    <w:rsid w:val="00D50FE6"/>
    <w:rsid w:val="00D51578"/>
    <w:rsid w:val="00D63795"/>
    <w:rsid w:val="00D64D3E"/>
    <w:rsid w:val="00D7597C"/>
    <w:rsid w:val="00D76FB5"/>
    <w:rsid w:val="00D82984"/>
    <w:rsid w:val="00D84865"/>
    <w:rsid w:val="00D87503"/>
    <w:rsid w:val="00D91908"/>
    <w:rsid w:val="00D93D3C"/>
    <w:rsid w:val="00D9647D"/>
    <w:rsid w:val="00DA6532"/>
    <w:rsid w:val="00DA77D6"/>
    <w:rsid w:val="00DC6982"/>
    <w:rsid w:val="00DC6B1C"/>
    <w:rsid w:val="00DD6E85"/>
    <w:rsid w:val="00DE261B"/>
    <w:rsid w:val="00DE3A97"/>
    <w:rsid w:val="00DE60A6"/>
    <w:rsid w:val="00DF090B"/>
    <w:rsid w:val="00DF44D8"/>
    <w:rsid w:val="00DF700D"/>
    <w:rsid w:val="00DF78FB"/>
    <w:rsid w:val="00E02A44"/>
    <w:rsid w:val="00E0634A"/>
    <w:rsid w:val="00E07C3E"/>
    <w:rsid w:val="00E120C5"/>
    <w:rsid w:val="00E13519"/>
    <w:rsid w:val="00E1522A"/>
    <w:rsid w:val="00E2250C"/>
    <w:rsid w:val="00E26616"/>
    <w:rsid w:val="00E33E42"/>
    <w:rsid w:val="00E345A1"/>
    <w:rsid w:val="00E368AA"/>
    <w:rsid w:val="00E4020B"/>
    <w:rsid w:val="00E454BF"/>
    <w:rsid w:val="00E57746"/>
    <w:rsid w:val="00E62BCD"/>
    <w:rsid w:val="00E6735F"/>
    <w:rsid w:val="00E6738F"/>
    <w:rsid w:val="00E748CB"/>
    <w:rsid w:val="00E80D82"/>
    <w:rsid w:val="00E84BDF"/>
    <w:rsid w:val="00E906FF"/>
    <w:rsid w:val="00E9228A"/>
    <w:rsid w:val="00E93B92"/>
    <w:rsid w:val="00E949E4"/>
    <w:rsid w:val="00E96225"/>
    <w:rsid w:val="00E97112"/>
    <w:rsid w:val="00E979D8"/>
    <w:rsid w:val="00EA0E24"/>
    <w:rsid w:val="00EA0FE8"/>
    <w:rsid w:val="00EA7F65"/>
    <w:rsid w:val="00EC13C9"/>
    <w:rsid w:val="00ED1DBB"/>
    <w:rsid w:val="00ED3DF0"/>
    <w:rsid w:val="00ED4205"/>
    <w:rsid w:val="00ED6C0D"/>
    <w:rsid w:val="00EE1FAD"/>
    <w:rsid w:val="00EE2E72"/>
    <w:rsid w:val="00EE3DCF"/>
    <w:rsid w:val="00EF04C2"/>
    <w:rsid w:val="00EF79F1"/>
    <w:rsid w:val="00EF7A97"/>
    <w:rsid w:val="00F00061"/>
    <w:rsid w:val="00F00231"/>
    <w:rsid w:val="00F01BFA"/>
    <w:rsid w:val="00F04492"/>
    <w:rsid w:val="00F0587B"/>
    <w:rsid w:val="00F105C1"/>
    <w:rsid w:val="00F1471D"/>
    <w:rsid w:val="00F2269F"/>
    <w:rsid w:val="00F228DE"/>
    <w:rsid w:val="00F26A95"/>
    <w:rsid w:val="00F30DDD"/>
    <w:rsid w:val="00F31B13"/>
    <w:rsid w:val="00F37C36"/>
    <w:rsid w:val="00F41803"/>
    <w:rsid w:val="00F435FC"/>
    <w:rsid w:val="00F52395"/>
    <w:rsid w:val="00F532FF"/>
    <w:rsid w:val="00F5459F"/>
    <w:rsid w:val="00F56926"/>
    <w:rsid w:val="00F62B3E"/>
    <w:rsid w:val="00F65E37"/>
    <w:rsid w:val="00F70250"/>
    <w:rsid w:val="00F70B57"/>
    <w:rsid w:val="00F817D1"/>
    <w:rsid w:val="00F971CD"/>
    <w:rsid w:val="00FA0350"/>
    <w:rsid w:val="00FA116F"/>
    <w:rsid w:val="00FA266E"/>
    <w:rsid w:val="00FA3BB0"/>
    <w:rsid w:val="00FA7A70"/>
    <w:rsid w:val="00FB0ECA"/>
    <w:rsid w:val="00FB2C42"/>
    <w:rsid w:val="00FB64D4"/>
    <w:rsid w:val="00FB690B"/>
    <w:rsid w:val="00FD103F"/>
    <w:rsid w:val="00FD4A62"/>
    <w:rsid w:val="00FE085F"/>
    <w:rsid w:val="00FE73B3"/>
    <w:rsid w:val="00FE7789"/>
    <w:rsid w:val="00FF033B"/>
    <w:rsid w:val="00FF7831"/>
    <w:rsid w:val="26645D5B"/>
    <w:rsid w:val="4CF63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99" w:name="Normal Indent"/>
    <w:lsdException w:unhideWhenUsed="0" w:uiPriority="0" w:semiHidden="0"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kern w:val="44"/>
      <w:sz w:val="44"/>
    </w:rPr>
  </w:style>
  <w:style w:type="paragraph" w:styleId="3">
    <w:name w:val="heading 2"/>
    <w:basedOn w:val="1"/>
    <w:next w:val="1"/>
    <w:link w:val="37"/>
    <w:qFormat/>
    <w:uiPriority w:val="0"/>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4">
    <w:name w:val="heading 3"/>
    <w:basedOn w:val="1"/>
    <w:next w:val="1"/>
    <w:link w:val="38"/>
    <w:qFormat/>
    <w:uiPriority w:val="0"/>
    <w:pPr>
      <w:keepNext/>
      <w:keepLines/>
      <w:spacing w:before="260" w:after="260" w:line="413" w:lineRule="auto"/>
      <w:outlineLvl w:val="2"/>
    </w:pPr>
    <w:rPr>
      <w:b/>
      <w:sz w:val="32"/>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5">
    <w:name w:val="toc 7"/>
    <w:basedOn w:val="1"/>
    <w:next w:val="1"/>
    <w:uiPriority w:val="39"/>
    <w:pPr>
      <w:ind w:left="2520" w:leftChars="1200"/>
    </w:pPr>
    <w:rPr>
      <w:szCs w:val="24"/>
    </w:rPr>
  </w:style>
  <w:style w:type="paragraph" w:styleId="6">
    <w:name w:val="Document Map"/>
    <w:basedOn w:val="1"/>
    <w:link w:val="58"/>
    <w:semiHidden/>
    <w:uiPriority w:val="0"/>
    <w:pPr>
      <w:shd w:val="clear" w:color="auto" w:fill="000080"/>
    </w:pPr>
  </w:style>
  <w:style w:type="paragraph" w:styleId="7">
    <w:name w:val="annotation text"/>
    <w:basedOn w:val="1"/>
    <w:link w:val="47"/>
    <w:semiHidden/>
    <w:qFormat/>
    <w:uiPriority w:val="99"/>
    <w:pPr>
      <w:jc w:val="left"/>
    </w:pPr>
  </w:style>
  <w:style w:type="paragraph" w:styleId="8">
    <w:name w:val="Body Text Indent"/>
    <w:basedOn w:val="1"/>
    <w:link w:val="43"/>
    <w:uiPriority w:val="0"/>
    <w:pPr>
      <w:spacing w:line="400" w:lineRule="atLeast"/>
      <w:ind w:firstLine="480"/>
    </w:pPr>
    <w:rPr>
      <w:sz w:val="24"/>
    </w:rPr>
  </w:style>
  <w:style w:type="paragraph" w:styleId="9">
    <w:name w:val="toc 5"/>
    <w:basedOn w:val="1"/>
    <w:next w:val="1"/>
    <w:qFormat/>
    <w:uiPriority w:val="39"/>
    <w:pPr>
      <w:ind w:left="1680" w:leftChars="800"/>
    </w:pPr>
    <w:rPr>
      <w:szCs w:val="24"/>
    </w:rPr>
  </w:style>
  <w:style w:type="paragraph" w:styleId="10">
    <w:name w:val="toc 3"/>
    <w:basedOn w:val="1"/>
    <w:next w:val="1"/>
    <w:qFormat/>
    <w:uiPriority w:val="39"/>
    <w:pPr>
      <w:ind w:left="420"/>
      <w:jc w:val="left"/>
    </w:pPr>
    <w:rPr>
      <w:rFonts w:ascii="Calibri" w:hAnsi="Calibri"/>
      <w:i/>
      <w:iCs/>
      <w:sz w:val="20"/>
    </w:rPr>
  </w:style>
  <w:style w:type="paragraph" w:styleId="11">
    <w:name w:val="Plain Text"/>
    <w:basedOn w:val="1"/>
    <w:link w:val="51"/>
    <w:qFormat/>
    <w:uiPriority w:val="0"/>
    <w:rPr>
      <w:rFonts w:ascii="宋体" w:hAnsi="Courier New"/>
    </w:rPr>
  </w:style>
  <w:style w:type="paragraph" w:styleId="12">
    <w:name w:val="toc 8"/>
    <w:basedOn w:val="1"/>
    <w:next w:val="1"/>
    <w:qFormat/>
    <w:uiPriority w:val="39"/>
    <w:pPr>
      <w:ind w:left="2940" w:leftChars="1400"/>
    </w:pPr>
    <w:rPr>
      <w:szCs w:val="24"/>
    </w:rPr>
  </w:style>
  <w:style w:type="paragraph" w:styleId="13">
    <w:name w:val="Body Text Indent 2"/>
    <w:basedOn w:val="1"/>
    <w:link w:val="44"/>
    <w:qFormat/>
    <w:uiPriority w:val="0"/>
    <w:pPr>
      <w:spacing w:line="360" w:lineRule="auto"/>
      <w:ind w:firstLine="480"/>
    </w:pPr>
    <w:rPr>
      <w:color w:val="FF0000"/>
      <w:sz w:val="24"/>
    </w:rPr>
  </w:style>
  <w:style w:type="paragraph" w:styleId="14">
    <w:name w:val="endnote text"/>
    <w:basedOn w:val="1"/>
    <w:link w:val="68"/>
    <w:unhideWhenUsed/>
    <w:qFormat/>
    <w:uiPriority w:val="99"/>
    <w:pPr>
      <w:snapToGrid w:val="0"/>
      <w:jc w:val="left"/>
    </w:pPr>
    <w:rPr>
      <w:szCs w:val="24"/>
    </w:rPr>
  </w:style>
  <w:style w:type="paragraph" w:styleId="15">
    <w:name w:val="Balloon Text"/>
    <w:basedOn w:val="1"/>
    <w:link w:val="42"/>
    <w:uiPriority w:val="0"/>
    <w:rPr>
      <w:sz w:val="18"/>
      <w:szCs w:val="18"/>
    </w:rPr>
  </w:style>
  <w:style w:type="paragraph" w:styleId="16">
    <w:name w:val="footer"/>
    <w:basedOn w:val="1"/>
    <w:link w:val="39"/>
    <w:uiPriority w:val="99"/>
    <w:pPr>
      <w:tabs>
        <w:tab w:val="center" w:pos="4153"/>
        <w:tab w:val="right" w:pos="8306"/>
      </w:tabs>
      <w:snapToGrid w:val="0"/>
      <w:jc w:val="left"/>
    </w:pPr>
    <w:rPr>
      <w:sz w:val="18"/>
    </w:rPr>
  </w:style>
  <w:style w:type="paragraph" w:styleId="17">
    <w:name w:val="header"/>
    <w:basedOn w:val="1"/>
    <w:link w:val="41"/>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Calibri" w:hAnsi="Calibri"/>
      <w:b/>
      <w:bCs/>
      <w:caps/>
      <w:sz w:val="20"/>
    </w:rPr>
  </w:style>
  <w:style w:type="paragraph" w:styleId="19">
    <w:name w:val="toc 4"/>
    <w:basedOn w:val="1"/>
    <w:next w:val="1"/>
    <w:uiPriority w:val="39"/>
    <w:pPr>
      <w:ind w:left="1260" w:leftChars="600"/>
    </w:pPr>
    <w:rPr>
      <w:szCs w:val="24"/>
    </w:rPr>
  </w:style>
  <w:style w:type="paragraph" w:styleId="20">
    <w:name w:val="footnote text"/>
    <w:basedOn w:val="1"/>
    <w:link w:val="66"/>
    <w:uiPriority w:val="0"/>
    <w:rPr>
      <w:rFonts w:asciiTheme="minorHAnsi" w:hAnsiTheme="minorHAnsi" w:eastAsiaTheme="minorEastAsia" w:cstheme="minorBidi"/>
      <w:sz w:val="24"/>
      <w:szCs w:val="24"/>
    </w:rPr>
  </w:style>
  <w:style w:type="paragraph" w:styleId="21">
    <w:name w:val="toc 6"/>
    <w:basedOn w:val="1"/>
    <w:next w:val="1"/>
    <w:qFormat/>
    <w:uiPriority w:val="39"/>
    <w:pPr>
      <w:ind w:left="2100" w:leftChars="1000"/>
    </w:pPr>
    <w:rPr>
      <w:szCs w:val="24"/>
    </w:rPr>
  </w:style>
  <w:style w:type="paragraph" w:styleId="22">
    <w:name w:val="Body Text Indent 3"/>
    <w:basedOn w:val="1"/>
    <w:link w:val="46"/>
    <w:qFormat/>
    <w:uiPriority w:val="0"/>
    <w:pPr>
      <w:spacing w:after="120"/>
      <w:ind w:left="420" w:leftChars="200"/>
    </w:pPr>
    <w:rPr>
      <w:kern w:val="0"/>
      <w:sz w:val="16"/>
    </w:rPr>
  </w:style>
  <w:style w:type="paragraph" w:styleId="23">
    <w:name w:val="toc 2"/>
    <w:basedOn w:val="1"/>
    <w:next w:val="1"/>
    <w:qFormat/>
    <w:uiPriority w:val="39"/>
    <w:pPr>
      <w:tabs>
        <w:tab w:val="left" w:pos="1230"/>
        <w:tab w:val="right" w:leader="dot" w:pos="8296"/>
      </w:tabs>
      <w:spacing w:line="360" w:lineRule="auto"/>
      <w:ind w:left="420" w:leftChars="200"/>
    </w:pPr>
  </w:style>
  <w:style w:type="paragraph" w:styleId="24">
    <w:name w:val="toc 9"/>
    <w:basedOn w:val="1"/>
    <w:next w:val="1"/>
    <w:qFormat/>
    <w:uiPriority w:val="39"/>
    <w:pPr>
      <w:ind w:left="3360" w:leftChars="1600"/>
    </w:pPr>
    <w:rPr>
      <w:szCs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69"/>
    <w:unhideWhenUsed/>
    <w:qFormat/>
    <w:uiPriority w:val="99"/>
    <w:rPr>
      <w:b/>
      <w:bCs/>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endnote reference"/>
    <w:unhideWhenUsed/>
    <w:qFormat/>
    <w:uiPriority w:val="99"/>
    <w:rPr>
      <w:vertAlign w:val="superscript"/>
    </w:rPr>
  </w:style>
  <w:style w:type="character" w:styleId="32">
    <w:name w:val="page number"/>
    <w:basedOn w:val="29"/>
    <w:qFormat/>
    <w:uiPriority w:val="0"/>
  </w:style>
  <w:style w:type="character" w:styleId="33">
    <w:name w:val="Hyperlink"/>
    <w:qFormat/>
    <w:uiPriority w:val="99"/>
    <w:rPr>
      <w:color w:val="0000FF"/>
      <w:u w:val="single"/>
    </w:rPr>
  </w:style>
  <w:style w:type="character" w:styleId="34">
    <w:name w:val="annotation reference"/>
    <w:unhideWhenUsed/>
    <w:qFormat/>
    <w:uiPriority w:val="99"/>
    <w:rPr>
      <w:sz w:val="21"/>
      <w:szCs w:val="21"/>
    </w:rPr>
  </w:style>
  <w:style w:type="character" w:styleId="35">
    <w:name w:val="footnote reference"/>
    <w:qFormat/>
    <w:uiPriority w:val="0"/>
    <w:rPr>
      <w:vertAlign w:val="superscript"/>
    </w:rPr>
  </w:style>
  <w:style w:type="character" w:customStyle="1" w:styleId="36">
    <w:name w:val="标题 1 Char"/>
    <w:basedOn w:val="29"/>
    <w:link w:val="2"/>
    <w:qFormat/>
    <w:uiPriority w:val="0"/>
    <w:rPr>
      <w:rFonts w:ascii="Times New Roman" w:hAnsi="Times New Roman" w:eastAsia="宋体" w:cs="Times New Roman"/>
      <w:b/>
      <w:kern w:val="44"/>
      <w:sz w:val="44"/>
      <w:szCs w:val="20"/>
    </w:rPr>
  </w:style>
  <w:style w:type="character" w:customStyle="1" w:styleId="37">
    <w:name w:val="标题 2 Char"/>
    <w:basedOn w:val="29"/>
    <w:link w:val="3"/>
    <w:qFormat/>
    <w:uiPriority w:val="0"/>
    <w:rPr>
      <w:rFonts w:ascii="Times New Roman" w:hAnsi="Times New Roman" w:eastAsia="宋体" w:cs="Times New Roman"/>
      <w:b/>
      <w:kern w:val="18"/>
      <w:sz w:val="24"/>
      <w:szCs w:val="20"/>
      <w:lang w:val="en-AU" w:eastAsia="en-US"/>
    </w:rPr>
  </w:style>
  <w:style w:type="character" w:customStyle="1" w:styleId="38">
    <w:name w:val="标题 3 Char"/>
    <w:basedOn w:val="29"/>
    <w:link w:val="4"/>
    <w:qFormat/>
    <w:uiPriority w:val="0"/>
    <w:rPr>
      <w:rFonts w:ascii="Times New Roman" w:hAnsi="Times New Roman" w:eastAsia="宋体" w:cs="Times New Roman"/>
      <w:b/>
      <w:sz w:val="32"/>
      <w:szCs w:val="20"/>
    </w:rPr>
  </w:style>
  <w:style w:type="character" w:customStyle="1" w:styleId="39">
    <w:name w:val="页脚 Char"/>
    <w:basedOn w:val="29"/>
    <w:link w:val="16"/>
    <w:qFormat/>
    <w:uiPriority w:val="99"/>
    <w:rPr>
      <w:rFonts w:ascii="Times New Roman" w:hAnsi="Times New Roman" w:eastAsia="宋体" w:cs="Times New Roman"/>
      <w:sz w:val="18"/>
      <w:szCs w:val="20"/>
    </w:rPr>
  </w:style>
  <w:style w:type="paragraph" w:customStyle="1" w:styleId="40">
    <w:name w:val="Char2 Char Char Char"/>
    <w:basedOn w:val="1"/>
    <w:qFormat/>
    <w:uiPriority w:val="0"/>
  </w:style>
  <w:style w:type="character" w:customStyle="1" w:styleId="41">
    <w:name w:val="页眉 Char"/>
    <w:basedOn w:val="29"/>
    <w:link w:val="17"/>
    <w:qFormat/>
    <w:uiPriority w:val="99"/>
    <w:rPr>
      <w:rFonts w:ascii="Times New Roman" w:hAnsi="Times New Roman" w:eastAsia="宋体" w:cs="Times New Roman"/>
      <w:sz w:val="18"/>
      <w:szCs w:val="18"/>
    </w:rPr>
  </w:style>
  <w:style w:type="character" w:customStyle="1" w:styleId="42">
    <w:name w:val="批注框文本 Char"/>
    <w:basedOn w:val="29"/>
    <w:link w:val="15"/>
    <w:qFormat/>
    <w:uiPriority w:val="0"/>
    <w:rPr>
      <w:rFonts w:ascii="Times New Roman" w:hAnsi="Times New Roman" w:eastAsia="宋体" w:cs="Times New Roman"/>
      <w:sz w:val="18"/>
      <w:szCs w:val="18"/>
    </w:rPr>
  </w:style>
  <w:style w:type="character" w:customStyle="1" w:styleId="43">
    <w:name w:val="正文文本缩进 Char"/>
    <w:basedOn w:val="29"/>
    <w:link w:val="8"/>
    <w:qFormat/>
    <w:uiPriority w:val="0"/>
    <w:rPr>
      <w:rFonts w:ascii="Times New Roman" w:hAnsi="Times New Roman" w:eastAsia="宋体" w:cs="Times New Roman"/>
      <w:sz w:val="24"/>
      <w:szCs w:val="20"/>
    </w:rPr>
  </w:style>
  <w:style w:type="character" w:customStyle="1" w:styleId="44">
    <w:name w:val="正文文本缩进 2 Char"/>
    <w:basedOn w:val="29"/>
    <w:link w:val="13"/>
    <w:qFormat/>
    <w:uiPriority w:val="0"/>
    <w:rPr>
      <w:rFonts w:ascii="Times New Roman" w:hAnsi="Times New Roman" w:eastAsia="宋体" w:cs="Times New Roman"/>
      <w:color w:val="FF0000"/>
      <w:sz w:val="24"/>
      <w:szCs w:val="20"/>
    </w:rPr>
  </w:style>
  <w:style w:type="paragraph" w:customStyle="1" w:styleId="45">
    <w:name w:val="Char Char"/>
    <w:basedOn w:val="1"/>
    <w:qFormat/>
    <w:uiPriority w:val="0"/>
    <w:pPr>
      <w:tabs>
        <w:tab w:val="left" w:pos="360"/>
      </w:tabs>
    </w:pPr>
    <w:rPr>
      <w:sz w:val="24"/>
      <w:szCs w:val="24"/>
    </w:rPr>
  </w:style>
  <w:style w:type="character" w:customStyle="1" w:styleId="46">
    <w:name w:val="正文文本缩进 3 Char"/>
    <w:basedOn w:val="29"/>
    <w:link w:val="22"/>
    <w:qFormat/>
    <w:uiPriority w:val="0"/>
    <w:rPr>
      <w:rFonts w:ascii="Times New Roman" w:hAnsi="Times New Roman" w:eastAsia="宋体" w:cs="Times New Roman"/>
      <w:kern w:val="0"/>
      <w:sz w:val="16"/>
      <w:szCs w:val="20"/>
    </w:rPr>
  </w:style>
  <w:style w:type="character" w:customStyle="1" w:styleId="47">
    <w:name w:val="批注文字 Char"/>
    <w:basedOn w:val="29"/>
    <w:link w:val="7"/>
    <w:semiHidden/>
    <w:uiPriority w:val="99"/>
    <w:rPr>
      <w:rFonts w:ascii="Times New Roman" w:hAnsi="Times New Roman" w:eastAsia="宋体" w:cs="Times New Roman"/>
      <w:szCs w:val="20"/>
    </w:rPr>
  </w:style>
  <w:style w:type="paragraph" w:customStyle="1" w:styleId="48">
    <w:name w:val="样式(正文)"/>
    <w:basedOn w:val="1"/>
    <w:uiPriority w:val="0"/>
    <w:pPr>
      <w:tabs>
        <w:tab w:val="left" w:pos="3206"/>
        <w:tab w:val="left" w:pos="6120"/>
      </w:tabs>
      <w:spacing w:line="440" w:lineRule="atLeast"/>
      <w:ind w:firstLine="414"/>
    </w:pPr>
    <w:rPr>
      <w:color w:val="000000"/>
    </w:rPr>
  </w:style>
  <w:style w:type="character" w:customStyle="1" w:styleId="49">
    <w:name w:val="Char Char2"/>
    <w:locked/>
    <w:uiPriority w:val="0"/>
    <w:rPr>
      <w:rFonts w:ascii="Times New Roman" w:hAnsi="Times New Roman" w:eastAsia="宋体" w:cs="Times New Roman"/>
      <w:sz w:val="16"/>
      <w:szCs w:val="16"/>
    </w:rPr>
  </w:style>
  <w:style w:type="character" w:customStyle="1" w:styleId="50">
    <w:name w:val="Char Char4"/>
    <w:uiPriority w:val="0"/>
    <w:rPr>
      <w:rFonts w:ascii="Times New Roman" w:hAnsi="Times New Roman" w:eastAsia="宋体" w:cs="Times New Roman"/>
      <w:b/>
      <w:sz w:val="32"/>
      <w:szCs w:val="20"/>
    </w:rPr>
  </w:style>
  <w:style w:type="character" w:customStyle="1" w:styleId="51">
    <w:name w:val="纯文本 Char"/>
    <w:basedOn w:val="29"/>
    <w:link w:val="11"/>
    <w:uiPriority w:val="0"/>
    <w:rPr>
      <w:rFonts w:ascii="宋体" w:hAnsi="Courier New" w:eastAsia="宋体" w:cs="Times New Roman"/>
      <w:szCs w:val="20"/>
    </w:rPr>
  </w:style>
  <w:style w:type="character" w:customStyle="1" w:styleId="52">
    <w:name w:val="Char Char1"/>
    <w:uiPriority w:val="0"/>
    <w:rPr>
      <w:rFonts w:ascii="Times New Roman" w:hAnsi="Times New Roman" w:eastAsia="宋体" w:cs="Times New Roman"/>
      <w:b/>
      <w:bCs/>
      <w:sz w:val="32"/>
      <w:szCs w:val="32"/>
    </w:rPr>
  </w:style>
  <w:style w:type="character" w:customStyle="1" w:styleId="53">
    <w:name w:val="Heading 3 Char"/>
    <w:locked/>
    <w:uiPriority w:val="0"/>
    <w:rPr>
      <w:rFonts w:ascii="Times New Roman" w:hAnsi="Times New Roman" w:eastAsia="宋体" w:cs="Times New Roman"/>
      <w:b/>
      <w:sz w:val="20"/>
      <w:szCs w:val="20"/>
    </w:rPr>
  </w:style>
  <w:style w:type="character" w:customStyle="1" w:styleId="54">
    <w:name w:val="Body Text Indent 3 Char"/>
    <w:locked/>
    <w:uiPriority w:val="0"/>
    <w:rPr>
      <w:rFonts w:ascii="Times New Roman" w:hAnsi="Times New Roman" w:eastAsia="宋体" w:cs="Times New Roman"/>
      <w:sz w:val="20"/>
      <w:szCs w:val="20"/>
    </w:rPr>
  </w:style>
  <w:style w:type="paragraph" w:customStyle="1" w:styleId="55">
    <w:name w:val="Char"/>
    <w:basedOn w:val="1"/>
    <w:qFormat/>
    <w:uiPriority w:val="99"/>
    <w:pPr>
      <w:widowControl/>
      <w:adjustRightInd w:val="0"/>
      <w:spacing w:after="160" w:line="240" w:lineRule="exact"/>
      <w:jc w:val="left"/>
      <w:textAlignment w:val="baseline"/>
    </w:pPr>
  </w:style>
  <w:style w:type="paragraph" w:customStyle="1" w:styleId="5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7">
    <w:name w:val="列出段落1"/>
    <w:basedOn w:val="1"/>
    <w:qFormat/>
    <w:uiPriority w:val="0"/>
    <w:pPr>
      <w:ind w:firstLine="420" w:firstLineChars="200"/>
    </w:pPr>
    <w:rPr>
      <w:rFonts w:ascii="Calibri" w:hAnsi="Calibri" w:cs="Calibri"/>
      <w:szCs w:val="21"/>
    </w:rPr>
  </w:style>
  <w:style w:type="character" w:customStyle="1" w:styleId="58">
    <w:name w:val="文档结构图 Char"/>
    <w:basedOn w:val="29"/>
    <w:link w:val="6"/>
    <w:semiHidden/>
    <w:uiPriority w:val="0"/>
    <w:rPr>
      <w:rFonts w:ascii="Times New Roman" w:hAnsi="Times New Roman" w:eastAsia="宋体" w:cs="Times New Roman"/>
      <w:szCs w:val="20"/>
      <w:shd w:val="clear" w:color="auto" w:fill="000080"/>
    </w:rPr>
  </w:style>
  <w:style w:type="paragraph" w:customStyle="1" w:styleId="59">
    <w:name w:val="title_content"/>
    <w:basedOn w:val="1"/>
    <w:uiPriority w:val="0"/>
    <w:pPr>
      <w:widowControl/>
      <w:spacing w:before="100" w:beforeAutospacing="1" w:after="100" w:afterAutospacing="1"/>
      <w:jc w:val="left"/>
    </w:pPr>
    <w:rPr>
      <w:rFonts w:ascii="宋体" w:hAnsi="宋体" w:cs="宋体"/>
      <w:b/>
      <w:bCs/>
      <w:color w:val="2AB6E7"/>
      <w:kern w:val="0"/>
      <w:sz w:val="24"/>
      <w:szCs w:val="24"/>
    </w:rPr>
  </w:style>
  <w:style w:type="paragraph" w:customStyle="1" w:styleId="60">
    <w:name w:val="txt_bold"/>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61">
    <w:name w:val="p17"/>
    <w:basedOn w:val="1"/>
    <w:uiPriority w:val="0"/>
    <w:pPr>
      <w:widowControl/>
      <w:spacing w:line="440" w:lineRule="atLeast"/>
      <w:ind w:firstLine="414"/>
    </w:pPr>
    <w:rPr>
      <w:color w:val="000000"/>
      <w:kern w:val="0"/>
      <w:szCs w:val="21"/>
    </w:rPr>
  </w:style>
  <w:style w:type="paragraph" w:customStyle="1" w:styleId="62">
    <w:name w:val="p0"/>
    <w:basedOn w:val="1"/>
    <w:uiPriority w:val="0"/>
    <w:pPr>
      <w:widowControl/>
    </w:pPr>
    <w:rPr>
      <w:kern w:val="0"/>
      <w:szCs w:val="21"/>
    </w:rPr>
  </w:style>
  <w:style w:type="paragraph" w:customStyle="1" w:styleId="63">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4">
    <w:name w:val="TOC 标题1"/>
    <w:basedOn w:val="2"/>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65">
    <w:name w:val="列出段落2"/>
    <w:basedOn w:val="1"/>
    <w:qFormat/>
    <w:uiPriority w:val="99"/>
    <w:pPr>
      <w:ind w:firstLine="420" w:firstLineChars="200"/>
    </w:pPr>
    <w:rPr>
      <w:rFonts w:ascii="Calibri" w:hAnsi="Calibri"/>
      <w:szCs w:val="22"/>
    </w:rPr>
  </w:style>
  <w:style w:type="character" w:customStyle="1" w:styleId="66">
    <w:name w:val="脚注文本 Char"/>
    <w:link w:val="20"/>
    <w:uiPriority w:val="0"/>
    <w:rPr>
      <w:sz w:val="24"/>
      <w:szCs w:val="24"/>
    </w:rPr>
  </w:style>
  <w:style w:type="character" w:customStyle="1" w:styleId="67">
    <w:name w:val="脚注文本 Char1"/>
    <w:basedOn w:val="29"/>
    <w:uiPriority w:val="0"/>
    <w:rPr>
      <w:rFonts w:ascii="Times New Roman" w:hAnsi="Times New Roman" w:eastAsia="宋体" w:cs="Times New Roman"/>
      <w:sz w:val="18"/>
      <w:szCs w:val="18"/>
    </w:rPr>
  </w:style>
  <w:style w:type="character" w:customStyle="1" w:styleId="68">
    <w:name w:val="尾注文本 Char"/>
    <w:basedOn w:val="29"/>
    <w:link w:val="14"/>
    <w:uiPriority w:val="99"/>
    <w:rPr>
      <w:rFonts w:ascii="Times New Roman" w:hAnsi="Times New Roman" w:eastAsia="宋体" w:cs="Times New Roman"/>
      <w:szCs w:val="24"/>
    </w:rPr>
  </w:style>
  <w:style w:type="character" w:customStyle="1" w:styleId="69">
    <w:name w:val="批注主题 Char"/>
    <w:basedOn w:val="47"/>
    <w:link w:val="26"/>
    <w:uiPriority w:val="99"/>
    <w:rPr>
      <w:rFonts w:ascii="Times New Roman" w:hAnsi="Times New Roman" w:eastAsia="宋体" w:cs="Times New Roman"/>
      <w:b/>
      <w:bCs/>
      <w:szCs w:val="24"/>
    </w:rPr>
  </w:style>
  <w:style w:type="paragraph" w:customStyle="1" w:styleId="70">
    <w:name w:val="列出段落21"/>
    <w:basedOn w:val="1"/>
    <w:qFormat/>
    <w:uiPriority w:val="99"/>
    <w:pPr>
      <w:ind w:firstLine="420" w:firstLineChars="200"/>
    </w:pPr>
    <w:rPr>
      <w:rFonts w:ascii="Calibri" w:hAnsi="Calibri"/>
      <w:szCs w:val="22"/>
      <w:u w:color="000000"/>
    </w:rPr>
  </w:style>
  <w:style w:type="paragraph" w:styleId="71">
    <w:name w:val="List Paragraph"/>
    <w:basedOn w:val="1"/>
    <w:qFormat/>
    <w:uiPriority w:val="34"/>
    <w:pPr>
      <w:widowControl/>
      <w:ind w:left="720"/>
      <w:contextualSpacing/>
      <w:jc w:val="left"/>
    </w:pPr>
    <w:rPr>
      <w:kern w:val="0"/>
      <w:sz w:val="24"/>
      <w:szCs w:val="24"/>
      <w:lang w:eastAsia="en-US"/>
    </w:rPr>
  </w:style>
  <w:style w:type="paragraph" w:customStyle="1" w:styleId="72">
    <w:name w:val="表格居中"/>
    <w:basedOn w:val="1"/>
    <w:link w:val="73"/>
    <w:qFormat/>
    <w:uiPriority w:val="0"/>
    <w:pPr>
      <w:widowControl/>
      <w:snapToGrid w:val="0"/>
      <w:spacing w:line="288" w:lineRule="auto"/>
      <w:jc w:val="center"/>
    </w:pPr>
    <w:rPr>
      <w:szCs w:val="22"/>
    </w:rPr>
  </w:style>
  <w:style w:type="character" w:customStyle="1" w:styleId="73">
    <w:name w:val="表格居中 Char"/>
    <w:basedOn w:val="29"/>
    <w:link w:val="72"/>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6AD03-96AF-4591-A57E-F2C8F01B8761}">
  <ds:schemaRefs/>
</ds:datastoreItem>
</file>

<file path=docProps/app.xml><?xml version="1.0" encoding="utf-8"?>
<Properties xmlns="http://schemas.openxmlformats.org/officeDocument/2006/extended-properties" xmlns:vt="http://schemas.openxmlformats.org/officeDocument/2006/docPropsVTypes">
  <Template>Normal</Template>
  <Pages>20</Pages>
  <Words>1622</Words>
  <Characters>9251</Characters>
  <Lines>77</Lines>
  <Paragraphs>21</Paragraphs>
  <TotalTime>26</TotalTime>
  <ScaleCrop>false</ScaleCrop>
  <LinksUpToDate>false</LinksUpToDate>
  <CharactersWithSpaces>10852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2020-01-16T08:58:00Z</dcterms:created>
  <dc:creator>dell</dc:creator>
  <cp:lastModifiedBy>青稞</cp:lastModifiedBy>
  <cp:lastPrinted>2020-01-03T02:04:00Z</cp:lastPrinted>
  <dcterms:modified xsi:type="dcterms:W3CDTF">2020-10-06T04:04:23Z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