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9F" w:rsidRPr="008D0EDA" w:rsidRDefault="00F81A9F" w:rsidP="00F81A9F">
      <w:pPr>
        <w:tabs>
          <w:tab w:val="left" w:pos="2100"/>
        </w:tabs>
        <w:topLinePunct/>
        <w:adjustRightInd w:val="0"/>
        <w:snapToGrid w:val="0"/>
        <w:spacing w:line="500" w:lineRule="exact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附件2：</w:t>
      </w:r>
      <w:r w:rsidRPr="008D0EDA">
        <w:rPr>
          <w:rFonts w:ascii="华文仿宋" w:eastAsia="华文仿宋" w:hAnsi="华文仿宋" w:hint="eastAsia"/>
          <w:sz w:val="32"/>
          <w:szCs w:val="32"/>
        </w:rPr>
        <w:tab/>
      </w:r>
    </w:p>
    <w:p w:rsidR="00F81A9F" w:rsidRDefault="00F81A9F" w:rsidP="00F81A9F">
      <w:pPr>
        <w:topLinePunct/>
        <w:adjustRightInd w:val="0"/>
        <w:snapToGrid w:val="0"/>
        <w:spacing w:line="500" w:lineRule="exact"/>
        <w:jc w:val="center"/>
        <w:rPr>
          <w:rFonts w:ascii="华文仿宋" w:eastAsia="华文仿宋" w:hAnsi="华文仿宋" w:hint="eastAsia"/>
          <w:b/>
          <w:sz w:val="36"/>
          <w:szCs w:val="36"/>
        </w:rPr>
      </w:pPr>
      <w:r w:rsidRPr="008D0EDA">
        <w:rPr>
          <w:rFonts w:ascii="华文仿宋" w:eastAsia="华文仿宋" w:hAnsi="华文仿宋" w:hint="eastAsia"/>
          <w:b/>
          <w:sz w:val="36"/>
          <w:szCs w:val="36"/>
        </w:rPr>
        <w:t>青海省普通高等学校本科专业评估指标体系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709"/>
        <w:gridCol w:w="5159"/>
      </w:tblGrid>
      <w:tr w:rsidR="00F81A9F" w:rsidRPr="00F35B11" w:rsidTr="00E30627">
        <w:tc>
          <w:tcPr>
            <w:tcW w:w="959" w:type="dxa"/>
            <w:vAlign w:val="center"/>
          </w:tcPr>
          <w:p w:rsidR="00F35B11" w:rsidRDefault="00F81A9F" w:rsidP="00F81A9F">
            <w:pPr>
              <w:spacing w:line="240" w:lineRule="atLeast"/>
              <w:jc w:val="center"/>
              <w:rPr>
                <w:rFonts w:ascii="华文仿宋" w:eastAsia="华文仿宋" w:hAnsi="华文仿宋" w:hint="eastAsia"/>
                <w:bCs w:val="0"/>
                <w:sz w:val="21"/>
                <w:szCs w:val="21"/>
              </w:rPr>
            </w:pPr>
            <w:r w:rsidRPr="00F35B11">
              <w:rPr>
                <w:rFonts w:ascii="华文仿宋" w:eastAsia="华文仿宋" w:hAnsi="华文仿宋" w:hint="eastAsia"/>
                <w:bCs w:val="0"/>
                <w:sz w:val="21"/>
                <w:szCs w:val="21"/>
              </w:rPr>
              <w:t>评估</w:t>
            </w:r>
          </w:p>
          <w:p w:rsidR="00F81A9F" w:rsidRPr="00F35B11" w:rsidRDefault="00F81A9F" w:rsidP="00F81A9F">
            <w:pPr>
              <w:spacing w:line="240" w:lineRule="atLeast"/>
              <w:jc w:val="center"/>
              <w:rPr>
                <w:rFonts w:ascii="华文仿宋" w:eastAsia="华文仿宋" w:hAnsi="华文仿宋"/>
                <w:bCs w:val="0"/>
                <w:sz w:val="21"/>
                <w:szCs w:val="21"/>
              </w:rPr>
            </w:pPr>
            <w:r w:rsidRPr="00F35B11">
              <w:rPr>
                <w:rFonts w:ascii="华文仿宋" w:eastAsia="华文仿宋" w:hAnsi="华文仿宋" w:hint="eastAsia"/>
                <w:bCs w:val="0"/>
                <w:sz w:val="21"/>
                <w:szCs w:val="21"/>
              </w:rPr>
              <w:t>指标</w:t>
            </w:r>
          </w:p>
        </w:tc>
        <w:tc>
          <w:tcPr>
            <w:tcW w:w="1701" w:type="dxa"/>
            <w:vAlign w:val="center"/>
          </w:tcPr>
          <w:p w:rsidR="00F81A9F" w:rsidRPr="00F35B11" w:rsidRDefault="00F81A9F" w:rsidP="00F81A9F">
            <w:pPr>
              <w:spacing w:line="240" w:lineRule="atLeast"/>
              <w:jc w:val="center"/>
              <w:rPr>
                <w:rFonts w:ascii="华文仿宋" w:eastAsia="华文仿宋" w:hAnsi="华文仿宋"/>
                <w:bCs w:val="0"/>
                <w:sz w:val="21"/>
                <w:szCs w:val="21"/>
              </w:rPr>
            </w:pPr>
            <w:r w:rsidRPr="00F35B11">
              <w:rPr>
                <w:rFonts w:ascii="华文仿宋" w:eastAsia="华文仿宋" w:hAnsi="华文仿宋" w:hint="eastAsia"/>
                <w:bCs w:val="0"/>
                <w:sz w:val="21"/>
                <w:szCs w:val="21"/>
              </w:rPr>
              <w:t>主要观测点</w:t>
            </w:r>
          </w:p>
        </w:tc>
        <w:tc>
          <w:tcPr>
            <w:tcW w:w="709" w:type="dxa"/>
            <w:vAlign w:val="center"/>
          </w:tcPr>
          <w:p w:rsidR="00F81A9F" w:rsidRPr="00F35B11" w:rsidRDefault="00F81A9F" w:rsidP="00F81A9F">
            <w:pPr>
              <w:spacing w:line="240" w:lineRule="atLeast"/>
              <w:jc w:val="center"/>
              <w:rPr>
                <w:rFonts w:ascii="华文仿宋" w:eastAsia="华文仿宋" w:hAnsi="华文仿宋" w:hint="eastAsia"/>
                <w:bCs w:val="0"/>
                <w:sz w:val="21"/>
                <w:szCs w:val="21"/>
              </w:rPr>
            </w:pPr>
            <w:r w:rsidRPr="00F35B11">
              <w:rPr>
                <w:rFonts w:ascii="华文仿宋" w:eastAsia="华文仿宋" w:hAnsi="华文仿宋" w:hint="eastAsia"/>
                <w:bCs w:val="0"/>
                <w:sz w:val="21"/>
                <w:szCs w:val="21"/>
              </w:rPr>
              <w:t>参考</w:t>
            </w:r>
          </w:p>
          <w:p w:rsidR="00F81A9F" w:rsidRPr="00F35B11" w:rsidRDefault="00F81A9F" w:rsidP="00F81A9F">
            <w:pPr>
              <w:spacing w:line="240" w:lineRule="atLeast"/>
              <w:jc w:val="center"/>
              <w:rPr>
                <w:rFonts w:ascii="华文仿宋" w:eastAsia="华文仿宋" w:hAnsi="华文仿宋"/>
                <w:bCs w:val="0"/>
                <w:sz w:val="21"/>
                <w:szCs w:val="21"/>
              </w:rPr>
            </w:pPr>
            <w:r w:rsidRPr="00F35B11">
              <w:rPr>
                <w:rFonts w:ascii="华文仿宋" w:eastAsia="华文仿宋" w:hAnsi="华文仿宋" w:hint="eastAsia"/>
                <w:bCs w:val="0"/>
                <w:sz w:val="21"/>
                <w:szCs w:val="21"/>
              </w:rPr>
              <w:t>权重</w:t>
            </w:r>
          </w:p>
        </w:tc>
        <w:tc>
          <w:tcPr>
            <w:tcW w:w="5159" w:type="dxa"/>
            <w:vAlign w:val="center"/>
          </w:tcPr>
          <w:p w:rsidR="00F81A9F" w:rsidRPr="00F35B11" w:rsidRDefault="00F81A9F" w:rsidP="00F81A9F">
            <w:pPr>
              <w:spacing w:line="240" w:lineRule="atLeast"/>
              <w:jc w:val="center"/>
              <w:rPr>
                <w:rFonts w:ascii="华文仿宋" w:eastAsia="华文仿宋" w:hAnsi="华文仿宋"/>
                <w:bCs w:val="0"/>
                <w:sz w:val="21"/>
                <w:szCs w:val="21"/>
              </w:rPr>
            </w:pPr>
            <w:r w:rsidRPr="00F35B11">
              <w:rPr>
                <w:rFonts w:ascii="华文仿宋" w:eastAsia="华文仿宋" w:hAnsi="华文仿宋" w:hint="eastAsia"/>
                <w:bCs w:val="0"/>
                <w:sz w:val="21"/>
                <w:szCs w:val="21"/>
              </w:rPr>
              <w:t>评 估 标 准</w:t>
            </w:r>
          </w:p>
        </w:tc>
      </w:tr>
      <w:tr w:rsidR="00F81A9F" w:rsidRPr="00F81A9F" w:rsidTr="00E30627">
        <w:tc>
          <w:tcPr>
            <w:tcW w:w="959" w:type="dxa"/>
            <w:vMerge w:val="restart"/>
            <w:vAlign w:val="center"/>
          </w:tcPr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1.建设规划与培养方案</w:t>
            </w: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ind w:left="412" w:hangingChars="196" w:hanging="412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bCs w:val="0"/>
                <w:iCs/>
                <w:sz w:val="21"/>
                <w:szCs w:val="21"/>
              </w:rPr>
              <w:t>1.1专业设置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  <w:t>0.2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适应国家、地区经济建设和社会发展需要，有明确的服务面向和人才需求；符合学校自身条件，有相应学科作依托，专业口径、专业方向符合学校的定位</w:t>
            </w:r>
          </w:p>
        </w:tc>
      </w:tr>
      <w:tr w:rsidR="00F81A9F" w:rsidRPr="00F81A9F" w:rsidTr="00E30627">
        <w:tc>
          <w:tcPr>
            <w:tcW w:w="959" w:type="dxa"/>
            <w:vMerge/>
            <w:vAlign w:val="center"/>
          </w:tcPr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ind w:left="412" w:hangingChars="196" w:hanging="412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bCs w:val="0"/>
                <w:iCs/>
                <w:sz w:val="21"/>
                <w:szCs w:val="21"/>
              </w:rPr>
              <w:t>1.2专业建设规划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  <w:t>0.3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目标明确，思路清晰，科学合理，措施得力，并付诸实施</w:t>
            </w:r>
          </w:p>
        </w:tc>
      </w:tr>
      <w:tr w:rsidR="00F81A9F" w:rsidRPr="00F81A9F" w:rsidTr="00E30627">
        <w:tc>
          <w:tcPr>
            <w:tcW w:w="959" w:type="dxa"/>
            <w:vMerge/>
            <w:vAlign w:val="center"/>
          </w:tcPr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ind w:left="412" w:hangingChars="196" w:hanging="412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bCs w:val="0"/>
                <w:iCs/>
                <w:sz w:val="21"/>
                <w:szCs w:val="21"/>
              </w:rPr>
              <w:t>1.3人才培养方案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  <w:t>0.5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培养方案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  <w:vertAlign w:val="superscript"/>
              </w:rPr>
              <w:t>[1]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反映培养目标的要求，有利于学生人文素养、科学素质的提高以及创新精神和实践能力的培养，教学计划符合本专业教育教学规律，执行情况较好</w:t>
            </w:r>
          </w:p>
        </w:tc>
      </w:tr>
      <w:tr w:rsidR="00F81A9F" w:rsidRPr="00F81A9F" w:rsidTr="00E30627">
        <w:tc>
          <w:tcPr>
            <w:tcW w:w="959" w:type="dxa"/>
            <w:vMerge w:val="restart"/>
            <w:vAlign w:val="center"/>
          </w:tcPr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2.专业基础条件</w:t>
            </w: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ind w:left="414" w:hangingChars="197" w:hanging="414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bCs w:val="0"/>
                <w:iCs/>
                <w:sz w:val="21"/>
                <w:szCs w:val="21"/>
              </w:rPr>
              <w:t>2.1教学科研仪器设备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ind w:left="309" w:hangingChars="147" w:hanging="309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  <w:t>0.2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教学科研仪器设备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  <w:vertAlign w:val="superscript"/>
              </w:rPr>
              <w:t>[2]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的配置满足教学和科研需要，更新情况较好</w:t>
            </w:r>
          </w:p>
        </w:tc>
      </w:tr>
      <w:tr w:rsidR="00F81A9F" w:rsidRPr="00F81A9F" w:rsidTr="00E30627">
        <w:tc>
          <w:tcPr>
            <w:tcW w:w="959" w:type="dxa"/>
            <w:vMerge/>
            <w:vAlign w:val="center"/>
          </w:tcPr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2.2实践教学基地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</w:rPr>
              <w:t>0.3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有相对稳定的校内外实习、实训基地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  <w:vertAlign w:val="superscript"/>
              </w:rPr>
              <w:t>[3]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，场地、设施及指导教师满足本专业实践教学的需要</w:t>
            </w:r>
          </w:p>
        </w:tc>
      </w:tr>
      <w:tr w:rsidR="00F81A9F" w:rsidRPr="00F81A9F" w:rsidTr="00E30627">
        <w:tc>
          <w:tcPr>
            <w:tcW w:w="959" w:type="dxa"/>
            <w:vMerge/>
            <w:vAlign w:val="center"/>
          </w:tcPr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ind w:left="420" w:hangingChars="200" w:hanging="420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bCs w:val="0"/>
                <w:iCs/>
                <w:sz w:val="21"/>
                <w:szCs w:val="21"/>
              </w:rPr>
              <w:t>2.3专业图书与网络资源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  <w:t>0.2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有一定数量的专业中外文图书、期刊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  <w:vertAlign w:val="superscript"/>
              </w:rPr>
              <w:t>[4]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、电子图书资源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  <w:vertAlign w:val="superscript"/>
              </w:rPr>
              <w:t>[5]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，能满足教师的日常教学、科研和学生专业学习需要；计算机网络服务体系使用较好</w:t>
            </w:r>
          </w:p>
        </w:tc>
      </w:tr>
      <w:tr w:rsidR="00F81A9F" w:rsidRPr="00F81A9F" w:rsidTr="00E30627">
        <w:tc>
          <w:tcPr>
            <w:tcW w:w="959" w:type="dxa"/>
            <w:vMerge/>
            <w:vAlign w:val="center"/>
          </w:tcPr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bCs w:val="0"/>
                <w:iCs/>
                <w:sz w:val="21"/>
                <w:szCs w:val="21"/>
              </w:rPr>
              <w:t>2.4 教学经费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  <w:t>0.3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实习经费、毕业论文（设计）经费、专业建设专项经费等足额安排到位，满足专业教学和人才培养需要</w:t>
            </w:r>
          </w:p>
        </w:tc>
      </w:tr>
      <w:tr w:rsidR="00F81A9F" w:rsidRPr="00F81A9F" w:rsidTr="00E30627">
        <w:tc>
          <w:tcPr>
            <w:tcW w:w="959" w:type="dxa"/>
            <w:vMerge w:val="restart"/>
            <w:vAlign w:val="center"/>
          </w:tcPr>
          <w:p w:rsidR="00F81A9F" w:rsidRPr="00F81A9F" w:rsidRDefault="00F81A9F" w:rsidP="00F81A9F">
            <w:pPr>
              <w:spacing w:line="240" w:lineRule="atLeast"/>
              <w:ind w:left="210" w:hangingChars="100" w:hanging="210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3.师资</w:t>
            </w:r>
          </w:p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队伍</w:t>
            </w: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bCs w:val="0"/>
                <w:iCs/>
                <w:sz w:val="21"/>
                <w:szCs w:val="21"/>
              </w:rPr>
              <w:t>3.1队伍建设状况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  <w:t>0.4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师资队伍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  <w:vertAlign w:val="superscript"/>
              </w:rPr>
              <w:t xml:space="preserve"> [6]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整体结构基本合理；专任教师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  <w:vertAlign w:val="superscript"/>
              </w:rPr>
              <w:t>[7]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中具有高级职称和具有研究生学位的比例分别达到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</w:rPr>
              <w:t>40%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；有副教授以上的专业带头人和人才梯队，发展趋势好</w:t>
            </w:r>
          </w:p>
        </w:tc>
      </w:tr>
      <w:tr w:rsidR="00F81A9F" w:rsidRPr="00F81A9F" w:rsidTr="00E30627">
        <w:tc>
          <w:tcPr>
            <w:tcW w:w="959" w:type="dxa"/>
            <w:vMerge/>
            <w:vAlign w:val="center"/>
          </w:tcPr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bCs w:val="0"/>
                <w:iCs/>
                <w:sz w:val="21"/>
                <w:szCs w:val="21"/>
              </w:rPr>
              <w:t>3.2主讲教师情况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  <w:t>0.4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符合岗位资格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  <w:vertAlign w:val="superscript"/>
              </w:rPr>
              <w:t>[8]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教师的比例达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</w:rPr>
              <w:t>100%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，教授、副教授每学年均为本科生</w:t>
            </w:r>
            <w:proofErr w:type="gramStart"/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授课达</w:t>
            </w:r>
            <w:proofErr w:type="gramEnd"/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</w:rPr>
              <w:t>100%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，主干课程教学队伍稳定，教学效果整体较好</w:t>
            </w:r>
          </w:p>
        </w:tc>
      </w:tr>
      <w:tr w:rsidR="00F81A9F" w:rsidRPr="00F81A9F" w:rsidTr="00E30627">
        <w:tc>
          <w:tcPr>
            <w:tcW w:w="959" w:type="dxa"/>
            <w:vMerge/>
            <w:vAlign w:val="center"/>
          </w:tcPr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3.3科学研究水平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</w:rPr>
              <w:t>0.2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专业负责人和专业课（含专业基础课）教师有较为稳定的科研方向，积极开展教学改革研究与实践，有校级以上的教学或科学研究项目及成果，科研促进教学成效较明显</w:t>
            </w:r>
          </w:p>
        </w:tc>
      </w:tr>
      <w:tr w:rsidR="00F81A9F" w:rsidRPr="00F81A9F" w:rsidTr="00E30627">
        <w:tc>
          <w:tcPr>
            <w:tcW w:w="959" w:type="dxa"/>
            <w:vMerge w:val="restart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4.课程</w:t>
            </w:r>
          </w:p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建设</w:t>
            </w: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ind w:left="514" w:hangingChars="245" w:hanging="514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bCs w:val="0"/>
                <w:iCs/>
                <w:sz w:val="21"/>
                <w:szCs w:val="21"/>
              </w:rPr>
              <w:t>4.1课程体系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ind w:left="514" w:hangingChars="245" w:hanging="514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  <w:t>0.4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课程设置符合培养目标的要求；课程体系结构有利于学生的知识、能力、素质的培养；有教学内容与课程体系改革的思路、计划和措施，并付诸实施</w:t>
            </w:r>
          </w:p>
        </w:tc>
      </w:tr>
      <w:tr w:rsidR="00F81A9F" w:rsidRPr="00F81A9F" w:rsidTr="00E30627">
        <w:tc>
          <w:tcPr>
            <w:tcW w:w="959" w:type="dxa"/>
            <w:vMerge/>
            <w:vAlign w:val="center"/>
          </w:tcPr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ind w:left="420" w:hangingChars="200" w:hanging="420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bCs w:val="0"/>
                <w:iCs/>
                <w:sz w:val="21"/>
                <w:szCs w:val="21"/>
              </w:rPr>
              <w:t>4.2教材选用与建设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  <w:t>0.3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执行学校教材选用和评估制度严格，主干课程选用同行公认的优秀教材和近三年出版的新教材，使用效果较好；能结合实际编写有本专业特色的教材</w:t>
            </w:r>
          </w:p>
        </w:tc>
      </w:tr>
      <w:tr w:rsidR="00F81A9F" w:rsidRPr="00F81A9F" w:rsidTr="00E30627">
        <w:tc>
          <w:tcPr>
            <w:tcW w:w="959" w:type="dxa"/>
            <w:vMerge/>
            <w:vAlign w:val="center"/>
          </w:tcPr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ind w:left="420" w:hangingChars="200" w:hanging="420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bCs w:val="0"/>
                <w:iCs/>
                <w:sz w:val="21"/>
                <w:szCs w:val="21"/>
              </w:rPr>
              <w:t>4.3教学方法与手段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  <w:t>0.3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积极改进教学方法与手段，有一定成效；必修课应用多媒体授课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  <w:vertAlign w:val="superscript"/>
              </w:rPr>
              <w:t>[9]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的课时不低于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</w:rPr>
              <w:t>10%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，且效果较好</w:t>
            </w:r>
          </w:p>
        </w:tc>
      </w:tr>
      <w:tr w:rsidR="00F81A9F" w:rsidRPr="00F81A9F" w:rsidTr="00E30627">
        <w:tc>
          <w:tcPr>
            <w:tcW w:w="959" w:type="dxa"/>
            <w:vMerge w:val="restart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5.实践</w:t>
            </w:r>
          </w:p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教学</w:t>
            </w: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5.1实践教学体系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</w:rPr>
              <w:t>0.4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设计合理，符合培养目标的要求，有利于培养学生实践动手能力和综合运用知识的能力；列入教学计划的各实践教学环节累计学分（学时），人文社会科学类专业一般不应少于总学分（学时）的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</w:rPr>
              <w:t>15%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，理工农</w:t>
            </w:r>
            <w:proofErr w:type="gramStart"/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医</w:t>
            </w:r>
            <w:proofErr w:type="gramEnd"/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类专业一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lastRenderedPageBreak/>
              <w:t>般不应少于总学分（学时）的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</w:rPr>
              <w:t>25%</w:t>
            </w:r>
          </w:p>
        </w:tc>
      </w:tr>
      <w:tr w:rsidR="00F81A9F" w:rsidRPr="00F81A9F" w:rsidTr="00E30627">
        <w:tc>
          <w:tcPr>
            <w:tcW w:w="959" w:type="dxa"/>
            <w:vMerge/>
            <w:vAlign w:val="center"/>
          </w:tcPr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ind w:left="420" w:hangingChars="200" w:hanging="420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bCs w:val="0"/>
                <w:iCs/>
                <w:sz w:val="21"/>
                <w:szCs w:val="21"/>
              </w:rPr>
              <w:t>5.2实验、实习和实训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</w:rPr>
              <w:t>0.6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实验开出率达到教学大纲要求的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</w:rPr>
              <w:t>90%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，有综合性、设计性实验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  <w:vertAlign w:val="superscript"/>
              </w:rPr>
              <w:t>[10]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的课程占有实验的课程总数的比例达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</w:rPr>
              <w:t>50%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；实验室开放，效果较好；实习、实</w:t>
            </w:r>
            <w:proofErr w:type="gramStart"/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训目的</w:t>
            </w:r>
            <w:proofErr w:type="gramEnd"/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明确，内容具体，措施得力，时间有保证</w:t>
            </w:r>
          </w:p>
        </w:tc>
      </w:tr>
      <w:tr w:rsidR="00F81A9F" w:rsidRPr="00F81A9F" w:rsidTr="00E30627">
        <w:tc>
          <w:tcPr>
            <w:tcW w:w="959" w:type="dxa"/>
            <w:vMerge w:val="restart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6.教学</w:t>
            </w:r>
          </w:p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管理</w:t>
            </w: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ind w:left="315" w:hangingChars="150" w:hanging="315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6.1教学规章制度执行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  <w:t>0.4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执行学校教学规章制度严格，效果明显；教学文件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  <w:vertAlign w:val="superscript"/>
              </w:rPr>
              <w:t>[11]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齐备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</w:rPr>
              <w:t>,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教学档案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  <w:vertAlign w:val="superscript"/>
              </w:rPr>
              <w:t>[12]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完整</w:t>
            </w:r>
          </w:p>
        </w:tc>
      </w:tr>
      <w:tr w:rsidR="00F81A9F" w:rsidRPr="00F81A9F" w:rsidTr="00E30627">
        <w:tc>
          <w:tcPr>
            <w:tcW w:w="959" w:type="dxa"/>
            <w:vMerge/>
            <w:vAlign w:val="center"/>
          </w:tcPr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ind w:left="420" w:hangingChars="200" w:hanging="420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6.2教学质量监控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ind w:left="420" w:hangingChars="200" w:hanging="420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  <w:t>0.6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各主要教学环节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  <w:vertAlign w:val="superscript"/>
              </w:rPr>
              <w:t>[13]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质量标准完善，教学运行过程动态监控活动开展正常，并注意发挥教学评估的反馈与改进作用，效果较好</w:t>
            </w:r>
          </w:p>
        </w:tc>
      </w:tr>
      <w:tr w:rsidR="00F81A9F" w:rsidRPr="00F81A9F" w:rsidTr="00E30627">
        <w:tc>
          <w:tcPr>
            <w:tcW w:w="959" w:type="dxa"/>
            <w:vMerge w:val="restart"/>
            <w:vAlign w:val="center"/>
          </w:tcPr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7.人才培养质量</w:t>
            </w: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ind w:left="420" w:hangingChars="200" w:hanging="420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bCs w:val="0"/>
                <w:iCs/>
                <w:sz w:val="21"/>
                <w:szCs w:val="21"/>
              </w:rPr>
              <w:t>7.1学生专业素质水平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  <w:t>0.4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学生的专业基本理论与基本技能水平达到培养目标的要求，有一定的创新精神和实践能力，并有研究和实践成果</w:t>
            </w:r>
          </w:p>
        </w:tc>
      </w:tr>
      <w:tr w:rsidR="00F81A9F" w:rsidRPr="00F81A9F" w:rsidTr="00E30627">
        <w:tc>
          <w:tcPr>
            <w:tcW w:w="959" w:type="dxa"/>
            <w:vMerge/>
            <w:vAlign w:val="center"/>
          </w:tcPr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ind w:left="315" w:hangingChars="150" w:hanging="315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bCs w:val="0"/>
                <w:sz w:val="21"/>
                <w:szCs w:val="21"/>
              </w:rPr>
              <w:t>7.2学生毕业论文（设计）质量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  <w:t>0.3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选题理论联系实际，符合培养目标要求，达到综合训练的目的；论文（设计）规范，质量较高</w:t>
            </w:r>
          </w:p>
        </w:tc>
      </w:tr>
      <w:tr w:rsidR="00F81A9F" w:rsidRPr="00F81A9F" w:rsidTr="00E30627">
        <w:tc>
          <w:tcPr>
            <w:tcW w:w="959" w:type="dxa"/>
            <w:vMerge/>
            <w:vAlign w:val="center"/>
          </w:tcPr>
          <w:p w:rsidR="00F81A9F" w:rsidRPr="00F81A9F" w:rsidRDefault="00F81A9F" w:rsidP="00F81A9F">
            <w:pPr>
              <w:topLinePunct/>
              <w:adjustRightInd w:val="0"/>
              <w:snapToGrid w:val="0"/>
              <w:spacing w:line="240" w:lineRule="atLeast"/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bCs w:val="0"/>
                <w:sz w:val="21"/>
                <w:szCs w:val="21"/>
              </w:rPr>
              <w:t>7.3社会评价</w:t>
            </w:r>
          </w:p>
        </w:tc>
        <w:tc>
          <w:tcPr>
            <w:tcW w:w="70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</w:pPr>
            <w:r w:rsidRPr="00F81A9F">
              <w:rPr>
                <w:rFonts w:ascii="华文仿宋" w:eastAsia="华文仿宋" w:hAnsi="华文仿宋"/>
                <w:b w:val="0"/>
                <w:bCs w:val="0"/>
                <w:iCs/>
                <w:sz w:val="21"/>
                <w:szCs w:val="21"/>
              </w:rPr>
              <w:t>0.3</w:t>
            </w:r>
          </w:p>
        </w:tc>
        <w:tc>
          <w:tcPr>
            <w:tcW w:w="5159" w:type="dxa"/>
            <w:vAlign w:val="center"/>
          </w:tcPr>
          <w:p w:rsidR="00F81A9F" w:rsidRPr="00F81A9F" w:rsidRDefault="00F81A9F" w:rsidP="00F81A9F">
            <w:pPr>
              <w:spacing w:line="240" w:lineRule="atLeast"/>
              <w:rPr>
                <w:rFonts w:ascii="华文仿宋" w:eastAsia="华文仿宋" w:hAnsi="华文仿宋"/>
                <w:b w:val="0"/>
                <w:sz w:val="21"/>
                <w:szCs w:val="21"/>
              </w:rPr>
            </w:pP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本专业招生录取分数线、第一志愿率、报到率较高；近三届毕业生年底就业率在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</w:rPr>
              <w:t>75%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以上，多数学生签约就业</w:t>
            </w:r>
            <w:r w:rsidRPr="00F81A9F">
              <w:rPr>
                <w:rFonts w:ascii="华文仿宋" w:eastAsia="华文仿宋" w:hAnsi="华文仿宋"/>
                <w:b w:val="0"/>
                <w:sz w:val="21"/>
                <w:szCs w:val="21"/>
                <w:vertAlign w:val="superscript"/>
              </w:rPr>
              <w:t>[14]</w:t>
            </w:r>
            <w:r w:rsidRPr="00F81A9F">
              <w:rPr>
                <w:rFonts w:ascii="华文仿宋" w:eastAsia="华文仿宋" w:hAnsi="华文仿宋" w:hint="eastAsia"/>
                <w:b w:val="0"/>
                <w:sz w:val="21"/>
                <w:szCs w:val="21"/>
              </w:rPr>
              <w:t>行业和就业地域符合本专业人才培养服务方向</w:t>
            </w:r>
          </w:p>
        </w:tc>
      </w:tr>
    </w:tbl>
    <w:p w:rsidR="00F81A9F" w:rsidRDefault="00F81A9F" w:rsidP="00F81A9F">
      <w:pPr>
        <w:topLinePunct/>
        <w:adjustRightInd w:val="0"/>
        <w:snapToGrid w:val="0"/>
        <w:spacing w:line="500" w:lineRule="exact"/>
        <w:jc w:val="center"/>
        <w:rPr>
          <w:rFonts w:ascii="华文仿宋" w:eastAsia="华文仿宋" w:hAnsi="华文仿宋" w:hint="eastAsia"/>
          <w:b/>
          <w:sz w:val="36"/>
          <w:szCs w:val="36"/>
        </w:rPr>
      </w:pPr>
    </w:p>
    <w:p w:rsidR="001A1243" w:rsidRPr="00F81A9F" w:rsidRDefault="001A1243"/>
    <w:sectPr w:rsidR="001A1243" w:rsidRPr="00F81A9F" w:rsidSect="00F81A9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1A9F"/>
    <w:rsid w:val="00124AD4"/>
    <w:rsid w:val="001A1243"/>
    <w:rsid w:val="003475C1"/>
    <w:rsid w:val="008B1B65"/>
    <w:rsid w:val="00F35B11"/>
    <w:rsid w:val="00F8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b/>
        <w:bCs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9F"/>
    <w:pPr>
      <w:widowControl w:val="0"/>
      <w:jc w:val="both"/>
    </w:pPr>
    <w:rPr>
      <w:rFonts w:ascii="Times New Roman" w:eastAsia="宋体" w:hAnsi="Times New Roman" w:cs="Times New Roman"/>
      <w:b w:val="0"/>
      <w:bCs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F81A9F"/>
    <w:rPr>
      <w:rFonts w:ascii="Tahoma" w:hAnsi="Tahoma"/>
      <w:sz w:val="24"/>
      <w:szCs w:val="20"/>
    </w:rPr>
  </w:style>
  <w:style w:type="table" w:styleId="a3">
    <w:name w:val="Table Grid"/>
    <w:basedOn w:val="a1"/>
    <w:rsid w:val="00F81A9F"/>
    <w:pPr>
      <w:widowControl w:val="0"/>
      <w:jc w:val="both"/>
    </w:pPr>
    <w:rPr>
      <w:rFonts w:ascii="Times New Roman" w:eastAsia="宋体" w:hAnsi="Times New Roman" w:cs="Times New Roman"/>
      <w:b w:val="0"/>
      <w:bCs w:val="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2017-03-17T00:15:00Z</dcterms:created>
  <dcterms:modified xsi:type="dcterms:W3CDTF">2017-03-17T00:16:00Z</dcterms:modified>
</cp:coreProperties>
</file>